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tif" ContentType="image/tif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hanging="1276"/>
        <w:rPr>
          <w:rFonts w:ascii="Times New Roman" w:hAnsi="Times New Roman" w:cs="Times New Roman"/>
          <w:b/>
          <w:b/>
          <w:sz w:val="28"/>
          <w:szCs w:val="28"/>
        </w:rPr>
      </w:pPr>
      <w:r>
        <w:rPr>
          <w:rFonts w:cs="Times New Roman" w:ascii="Times New Roman" w:hAnsi="Times New Roman"/>
          <w:b/>
          <w:sz w:val="28"/>
          <w:szCs w:val="28"/>
        </w:rPr>
        <w:t>МИНИСТЕРСТВО СЕЛЬСКОГО ХОЗЯЙСТВА РОССИЙСКОЙ ФЕДЕРАЦИИ</w:t>
      </w:r>
    </w:p>
    <w:p>
      <w:pPr>
        <w:pStyle w:val="Normal"/>
        <w:spacing w:lineRule="auto" w:line="240" w:before="0" w:after="0"/>
        <w:ind w:left="-1276" w:right="-426" w:hanging="0"/>
        <w:rPr>
          <w:rFonts w:ascii="Times New Roman" w:hAnsi="Times New Roman" w:cs="Times New Roman"/>
          <w:bCs/>
          <w:sz w:val="28"/>
          <w:szCs w:val="28"/>
        </w:rPr>
      </w:pPr>
      <w:r>
        <w:rPr>
          <w:rFonts w:cs="Times New Roman" w:ascii="Times New Roman" w:hAnsi="Times New Roman"/>
          <w:bCs/>
          <w:sz w:val="28"/>
          <w:szCs w:val="28"/>
        </w:rPr>
        <w:t>__________________________________________________________________________</w:t>
      </w:r>
    </w:p>
    <w:p>
      <w:pPr>
        <w:pStyle w:val="Normal"/>
        <w:spacing w:lineRule="auto" w:line="240" w:before="0" w:after="0"/>
        <w:ind w:left="-426" w:hanging="850"/>
        <w:rPr>
          <w:rFonts w:ascii="Times New Roman" w:hAnsi="Times New Roman" w:cs="Times New Roman"/>
          <w:b/>
          <w:b/>
          <w:color w:val="00B050"/>
          <w:sz w:val="28"/>
          <w:szCs w:val="28"/>
        </w:rPr>
      </w:pPr>
      <w:r>
        <w:drawing>
          <wp:anchor behindDoc="0" distT="0" distB="0" distL="114300" distR="114300" simplePos="0" locked="0" layoutInCell="0" allowOverlap="1" relativeHeight="2">
            <wp:simplePos x="0" y="0"/>
            <wp:positionH relativeFrom="column">
              <wp:posOffset>5175250</wp:posOffset>
            </wp:positionH>
            <wp:positionV relativeFrom="paragraph">
              <wp:posOffset>104775</wp:posOffset>
            </wp:positionV>
            <wp:extent cx="655320" cy="624840"/>
            <wp:effectExtent l="0" t="0" r="0" b="0"/>
            <wp:wrapTight wrapText="bothSides">
              <wp:wrapPolygon edited="0">
                <wp:start x="7175" y="140"/>
                <wp:lineTo x="7036" y="281"/>
                <wp:lineTo x="6482" y="422"/>
                <wp:lineTo x="6344" y="563"/>
                <wp:lineTo x="6344" y="704"/>
                <wp:lineTo x="5927" y="845"/>
                <wp:lineTo x="5373" y="986"/>
                <wp:lineTo x="5234" y="1127"/>
                <wp:lineTo x="5234" y="1268"/>
                <wp:lineTo x="4956" y="1409"/>
                <wp:lineTo x="4679" y="1550"/>
                <wp:lineTo x="4540" y="1691"/>
                <wp:lineTo x="4124" y="1832"/>
                <wp:lineTo x="4124" y="1972"/>
                <wp:lineTo x="4124" y="2113"/>
                <wp:lineTo x="3847" y="2254"/>
                <wp:lineTo x="3569" y="2395"/>
                <wp:lineTo x="3292" y="2536"/>
                <wp:lineTo x="3292" y="2677"/>
                <wp:lineTo x="3153" y="2818"/>
                <wp:lineTo x="3015" y="2959"/>
                <wp:lineTo x="2737" y="3101"/>
                <wp:lineTo x="2737" y="3242"/>
                <wp:lineTo x="2737" y="3383"/>
                <wp:lineTo x="2737" y="3524"/>
                <wp:lineTo x="2598" y="3665"/>
                <wp:lineTo x="2460" y="3806"/>
                <wp:lineTo x="2182" y="3946"/>
                <wp:lineTo x="2044" y="4087"/>
                <wp:lineTo x="2044" y="4228"/>
                <wp:lineTo x="2044" y="4369"/>
                <wp:lineTo x="2182" y="4510"/>
                <wp:lineTo x="1905" y="4651"/>
                <wp:lineTo x="1766" y="4792"/>
                <wp:lineTo x="1766" y="4933"/>
                <wp:lineTo x="1766" y="5074"/>
                <wp:lineTo x="1627" y="5215"/>
                <wp:lineTo x="1489" y="5356"/>
                <wp:lineTo x="1489" y="5497"/>
                <wp:lineTo x="1489" y="5638"/>
                <wp:lineTo x="1489" y="5779"/>
                <wp:lineTo x="1489" y="5919"/>
                <wp:lineTo x="1350" y="6060"/>
                <wp:lineTo x="1211" y="6202"/>
                <wp:lineTo x="1211" y="6343"/>
                <wp:lineTo x="1073" y="6484"/>
                <wp:lineTo x="1073" y="6625"/>
                <wp:lineTo x="1073" y="6766"/>
                <wp:lineTo x="1073" y="6907"/>
                <wp:lineTo x="934" y="7048"/>
                <wp:lineTo x="934" y="7189"/>
                <wp:lineTo x="934" y="7330"/>
                <wp:lineTo x="1073" y="7471"/>
                <wp:lineTo x="1073" y="7612"/>
                <wp:lineTo x="1073" y="7753"/>
                <wp:lineTo x="1073" y="7893"/>
                <wp:lineTo x="1073" y="8034"/>
                <wp:lineTo x="934" y="8175"/>
                <wp:lineTo x="934" y="8316"/>
                <wp:lineTo x="795" y="8457"/>
                <wp:lineTo x="795" y="8598"/>
                <wp:lineTo x="795" y="8739"/>
                <wp:lineTo x="795" y="8880"/>
                <wp:lineTo x="795" y="9021"/>
                <wp:lineTo x="795" y="9163"/>
                <wp:lineTo x="795" y="9304"/>
                <wp:lineTo x="795" y="9445"/>
                <wp:lineTo x="795" y="9586"/>
                <wp:lineTo x="795" y="9726"/>
                <wp:lineTo x="795" y="9867"/>
                <wp:lineTo x="240" y="10008"/>
                <wp:lineTo x="102" y="10149"/>
                <wp:lineTo x="-176" y="10290"/>
                <wp:lineTo x="-176" y="10431"/>
                <wp:lineTo x="-176" y="10572"/>
                <wp:lineTo x="-176" y="10713"/>
                <wp:lineTo x="-176" y="10854"/>
                <wp:lineTo x="-176" y="10995"/>
                <wp:lineTo x="-176" y="11136"/>
                <wp:lineTo x="-176" y="11277"/>
                <wp:lineTo x="-176" y="11418"/>
                <wp:lineTo x="-176" y="11559"/>
                <wp:lineTo x="-176" y="11699"/>
                <wp:lineTo x="-176" y="11840"/>
                <wp:lineTo x="-176" y="11981"/>
                <wp:lineTo x="-176" y="12122"/>
                <wp:lineTo x="-37" y="12264"/>
                <wp:lineTo x="102" y="12405"/>
                <wp:lineTo x="240" y="12546"/>
                <wp:lineTo x="379" y="12687"/>
                <wp:lineTo x="240" y="12828"/>
                <wp:lineTo x="-37" y="12969"/>
                <wp:lineTo x="-176" y="13110"/>
                <wp:lineTo x="-176" y="13251"/>
                <wp:lineTo x="-176" y="13392"/>
                <wp:lineTo x="-176" y="13533"/>
                <wp:lineTo x="-176" y="13673"/>
                <wp:lineTo x="-176" y="13814"/>
                <wp:lineTo x="-176" y="13955"/>
                <wp:lineTo x="-176" y="14096"/>
                <wp:lineTo x="-176" y="14237"/>
                <wp:lineTo x="-176" y="14378"/>
                <wp:lineTo x="-176" y="14519"/>
                <wp:lineTo x="-176" y="14660"/>
                <wp:lineTo x="-37" y="14801"/>
                <wp:lineTo x="102" y="14942"/>
                <wp:lineTo x="240" y="15083"/>
                <wp:lineTo x="379" y="15225"/>
                <wp:lineTo x="518" y="15366"/>
                <wp:lineTo x="656" y="15506"/>
                <wp:lineTo x="934" y="15647"/>
                <wp:lineTo x="795" y="15788"/>
                <wp:lineTo x="656" y="15929"/>
                <wp:lineTo x="656" y="16070"/>
                <wp:lineTo x="656" y="16211"/>
                <wp:lineTo x="656" y="16352"/>
                <wp:lineTo x="656" y="16493"/>
                <wp:lineTo x="656" y="16634"/>
                <wp:lineTo x="656" y="16775"/>
                <wp:lineTo x="656" y="16916"/>
                <wp:lineTo x="795" y="17057"/>
                <wp:lineTo x="934" y="17198"/>
                <wp:lineTo x="1073" y="17339"/>
                <wp:lineTo x="1211" y="17479"/>
                <wp:lineTo x="1350" y="17620"/>
                <wp:lineTo x="1489" y="17761"/>
                <wp:lineTo x="1766" y="17902"/>
                <wp:lineTo x="2044" y="18043"/>
                <wp:lineTo x="2460" y="18184"/>
                <wp:lineTo x="3431" y="18326"/>
                <wp:lineTo x="3292" y="18467"/>
                <wp:lineTo x="3292" y="18608"/>
                <wp:lineTo x="3292" y="18749"/>
                <wp:lineTo x="3431" y="18890"/>
                <wp:lineTo x="3431" y="19031"/>
                <wp:lineTo x="3569" y="19172"/>
                <wp:lineTo x="3569" y="19313"/>
                <wp:lineTo x="3708" y="19453"/>
                <wp:lineTo x="3847" y="19594"/>
                <wp:lineTo x="4124" y="19735"/>
                <wp:lineTo x="4540" y="19876"/>
                <wp:lineTo x="5373" y="20017"/>
                <wp:lineTo x="5234" y="20158"/>
                <wp:lineTo x="5095" y="20299"/>
                <wp:lineTo x="5234" y="20440"/>
                <wp:lineTo x="5373" y="20581"/>
                <wp:lineTo x="5511" y="20722"/>
                <wp:lineTo x="5650" y="20863"/>
                <wp:lineTo x="15219" y="20863"/>
                <wp:lineTo x="15358" y="20722"/>
                <wp:lineTo x="15496" y="20581"/>
                <wp:lineTo x="15774" y="20440"/>
                <wp:lineTo x="15774" y="20299"/>
                <wp:lineTo x="15774" y="20158"/>
                <wp:lineTo x="15635" y="20017"/>
                <wp:lineTo x="16606" y="19876"/>
                <wp:lineTo x="17022" y="19735"/>
                <wp:lineTo x="17161" y="19594"/>
                <wp:lineTo x="17438" y="19453"/>
                <wp:lineTo x="17438" y="19313"/>
                <wp:lineTo x="17577" y="19172"/>
                <wp:lineTo x="17716" y="19031"/>
                <wp:lineTo x="17716" y="18890"/>
                <wp:lineTo x="17716" y="18749"/>
                <wp:lineTo x="17716" y="18608"/>
                <wp:lineTo x="17716" y="18467"/>
                <wp:lineTo x="17716" y="18326"/>
                <wp:lineTo x="18687" y="18184"/>
                <wp:lineTo x="19103" y="18043"/>
                <wp:lineTo x="19380" y="17902"/>
                <wp:lineTo x="19519" y="17761"/>
                <wp:lineTo x="19796" y="17620"/>
                <wp:lineTo x="19935" y="17479"/>
                <wp:lineTo x="20074" y="17339"/>
                <wp:lineTo x="20212" y="17198"/>
                <wp:lineTo x="20351" y="17057"/>
                <wp:lineTo x="20351" y="16916"/>
                <wp:lineTo x="20490" y="16775"/>
                <wp:lineTo x="20490" y="16634"/>
                <wp:lineTo x="20490" y="16493"/>
                <wp:lineTo x="20490" y="16352"/>
                <wp:lineTo x="20490" y="16211"/>
                <wp:lineTo x="20490" y="16070"/>
                <wp:lineTo x="20351" y="15929"/>
                <wp:lineTo x="20351" y="15788"/>
                <wp:lineTo x="20212" y="15647"/>
                <wp:lineTo x="20351" y="15506"/>
                <wp:lineTo x="20629" y="15366"/>
                <wp:lineTo x="20767" y="15225"/>
                <wp:lineTo x="20906" y="15083"/>
                <wp:lineTo x="21045" y="14942"/>
                <wp:lineTo x="21183" y="14801"/>
                <wp:lineTo x="21322" y="14660"/>
                <wp:lineTo x="21322" y="14519"/>
                <wp:lineTo x="21322" y="14378"/>
                <wp:lineTo x="21322" y="14237"/>
                <wp:lineTo x="21322" y="14096"/>
                <wp:lineTo x="21322" y="13955"/>
                <wp:lineTo x="21322" y="13814"/>
                <wp:lineTo x="21322" y="13673"/>
                <wp:lineTo x="21322" y="13533"/>
                <wp:lineTo x="21322" y="13392"/>
                <wp:lineTo x="21322" y="13251"/>
                <wp:lineTo x="21322" y="13110"/>
                <wp:lineTo x="21183" y="12969"/>
                <wp:lineTo x="20906" y="12828"/>
                <wp:lineTo x="20767" y="12687"/>
                <wp:lineTo x="20906" y="12546"/>
                <wp:lineTo x="21045" y="12405"/>
                <wp:lineTo x="21183" y="12264"/>
                <wp:lineTo x="21183" y="12122"/>
                <wp:lineTo x="21322" y="11981"/>
                <wp:lineTo x="21322" y="11840"/>
                <wp:lineTo x="21322" y="11699"/>
                <wp:lineTo x="21322" y="11559"/>
                <wp:lineTo x="21322" y="11418"/>
                <wp:lineTo x="21322" y="11277"/>
                <wp:lineTo x="21322" y="11136"/>
                <wp:lineTo x="21322" y="10995"/>
                <wp:lineTo x="21322" y="10854"/>
                <wp:lineTo x="21322" y="10713"/>
                <wp:lineTo x="21322" y="10572"/>
                <wp:lineTo x="21322" y="10431"/>
                <wp:lineTo x="21183" y="10290"/>
                <wp:lineTo x="21045" y="10149"/>
                <wp:lineTo x="20767" y="10008"/>
                <wp:lineTo x="20212" y="9867"/>
                <wp:lineTo x="20212" y="9726"/>
                <wp:lineTo x="20351" y="9586"/>
                <wp:lineTo x="20351" y="9445"/>
                <wp:lineTo x="20351" y="9304"/>
                <wp:lineTo x="20351" y="9163"/>
                <wp:lineTo x="20351" y="9021"/>
                <wp:lineTo x="20351" y="8880"/>
                <wp:lineTo x="20351" y="8739"/>
                <wp:lineTo x="20212" y="8598"/>
                <wp:lineTo x="20212" y="8457"/>
                <wp:lineTo x="20212" y="8316"/>
                <wp:lineTo x="20074" y="8175"/>
                <wp:lineTo x="19935" y="8034"/>
                <wp:lineTo x="19935" y="7893"/>
                <wp:lineTo x="19796" y="7753"/>
                <wp:lineTo x="19658" y="7612"/>
                <wp:lineTo x="19658" y="7471"/>
                <wp:lineTo x="19658" y="7330"/>
                <wp:lineTo x="19519" y="7189"/>
                <wp:lineTo x="19658" y="7048"/>
                <wp:lineTo x="19658" y="6907"/>
                <wp:lineTo x="19658" y="6766"/>
                <wp:lineTo x="19519" y="6625"/>
                <wp:lineTo x="19380" y="6484"/>
                <wp:lineTo x="19380" y="6343"/>
                <wp:lineTo x="19380" y="6202"/>
                <wp:lineTo x="19380" y="6060"/>
                <wp:lineTo x="19241" y="5919"/>
                <wp:lineTo x="19241" y="5779"/>
                <wp:lineTo x="19103" y="5638"/>
                <wp:lineTo x="18825" y="5497"/>
                <wp:lineTo x="18964" y="5356"/>
                <wp:lineTo x="18964" y="5215"/>
                <wp:lineTo x="18964" y="5074"/>
                <wp:lineTo x="18825" y="4933"/>
                <wp:lineTo x="18687" y="4792"/>
                <wp:lineTo x="18548" y="4651"/>
                <wp:lineTo x="18548" y="4510"/>
                <wp:lineTo x="18409" y="4369"/>
                <wp:lineTo x="18409" y="4228"/>
                <wp:lineTo x="18548" y="4087"/>
                <wp:lineTo x="18548" y="3946"/>
                <wp:lineTo x="18409" y="3806"/>
                <wp:lineTo x="17993" y="3665"/>
                <wp:lineTo x="17854" y="3524"/>
                <wp:lineTo x="17854" y="3383"/>
                <wp:lineTo x="17716" y="3242"/>
                <wp:lineTo x="17716" y="3101"/>
                <wp:lineTo x="17577" y="2959"/>
                <wp:lineTo x="17577" y="2818"/>
                <wp:lineTo x="17577" y="2677"/>
                <wp:lineTo x="17161" y="2536"/>
                <wp:lineTo x="17022" y="2395"/>
                <wp:lineTo x="16883" y="2254"/>
                <wp:lineTo x="16606" y="2113"/>
                <wp:lineTo x="16190" y="1972"/>
                <wp:lineTo x="16051" y="1832"/>
                <wp:lineTo x="16051" y="1691"/>
                <wp:lineTo x="15774" y="1550"/>
                <wp:lineTo x="15358" y="1409"/>
                <wp:lineTo x="15219" y="1268"/>
                <wp:lineTo x="15080" y="1127"/>
                <wp:lineTo x="15080" y="986"/>
                <wp:lineTo x="14941" y="845"/>
                <wp:lineTo x="14110" y="704"/>
                <wp:lineTo x="13972" y="563"/>
                <wp:lineTo x="13694" y="422"/>
                <wp:lineTo x="13694" y="281"/>
                <wp:lineTo x="13555" y="140"/>
                <wp:lineTo x="7175" y="140"/>
              </wp:wrapPolygon>
            </wp:wrapTight>
            <wp:docPr id="1" name="Рисунок 3" descr="G:\ФОТО ОТДЕЛА\РАЗНОЕ\Значок РСЦ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G:\ФОТО ОТДЕЛА\РАЗНОЕ\Значок РСЦ (1).tif"/>
                    <pic:cNvPicPr>
                      <a:picLocks noChangeAspect="1" noChangeArrowheads="1"/>
                    </pic:cNvPicPr>
                  </pic:nvPicPr>
                  <pic:blipFill>
                    <a:blip r:embed="rId2"/>
                    <a:stretch>
                      <a:fillRect/>
                    </a:stretch>
                  </pic:blipFill>
                  <pic:spPr bwMode="auto">
                    <a:xfrm>
                      <a:off x="0" y="0"/>
                      <a:ext cx="655320" cy="624840"/>
                    </a:xfrm>
                    <a:prstGeom prst="rect">
                      <a:avLst/>
                    </a:prstGeom>
                  </pic:spPr>
                </pic:pic>
              </a:graphicData>
            </a:graphic>
          </wp:anchor>
        </w:drawing>
      </w:r>
      <w:r>
        <w:rPr>
          <w:rFonts w:cs="Times New Roman" w:ascii="Times New Roman" w:hAnsi="Times New Roman"/>
          <w:b/>
          <w:color w:val="00B050"/>
          <w:sz w:val="28"/>
          <w:szCs w:val="28"/>
        </w:rPr>
        <w:t>ИНФОРМАЦИОННЫЙ ЛИСТ</w:t>
      </w:r>
    </w:p>
    <w:p>
      <w:pPr>
        <w:pStyle w:val="Normal"/>
        <w:spacing w:lineRule="auto" w:line="240" w:before="0" w:after="0"/>
        <w:ind w:left="-426" w:hanging="850"/>
        <w:rPr>
          <w:rFonts w:ascii="Times New Roman" w:hAnsi="Times New Roman" w:cs="Times New Roman"/>
          <w:b/>
          <w:b/>
          <w:color w:val="00B050"/>
          <w:sz w:val="24"/>
          <w:szCs w:val="24"/>
        </w:rPr>
      </w:pPr>
      <w:r>
        <w:rPr>
          <w:rFonts w:cs="Times New Roman" w:ascii="Times New Roman" w:hAnsi="Times New Roman"/>
          <w:b/>
          <w:color w:val="00B050"/>
          <w:sz w:val="24"/>
          <w:szCs w:val="24"/>
        </w:rPr>
        <w:t>филиала ФГБУ «РОССЕЛЬХОЗЦЕНТР» по Волгоградской области</w:t>
      </w:r>
    </w:p>
    <w:p>
      <w:pPr>
        <w:pStyle w:val="Normal"/>
        <w:spacing w:lineRule="auto" w:line="240" w:before="0" w:after="0"/>
        <w:ind w:left="-426" w:hanging="850"/>
        <w:rPr>
          <w:rFonts w:ascii="Times New Roman" w:hAnsi="Times New Roman" w:cs="Times New Roman"/>
          <w:b/>
          <w:b/>
          <w:color w:val="00B050"/>
          <w:sz w:val="24"/>
          <w:szCs w:val="24"/>
        </w:rPr>
      </w:pPr>
      <w:r>
        <w:rPr>
          <w:rFonts w:cs="Times New Roman" w:ascii="Times New Roman" w:hAnsi="Times New Roman"/>
          <w:b/>
          <w:color w:val="00B050"/>
          <w:sz w:val="24"/>
          <w:szCs w:val="24"/>
        </w:rPr>
        <w:t>№</w:t>
      </w:r>
      <w:r>
        <w:rPr>
          <w:rFonts w:cs="Times New Roman" w:ascii="Times New Roman" w:hAnsi="Times New Roman"/>
          <w:b/>
          <w:color w:val="00B050"/>
          <w:sz w:val="24"/>
          <w:szCs w:val="24"/>
        </w:rPr>
        <w:t>1 от 1</w:t>
      </w:r>
      <w:r>
        <w:rPr>
          <w:rFonts w:cs="Times New Roman" w:ascii="Times New Roman" w:hAnsi="Times New Roman"/>
          <w:b/>
          <w:color w:val="00B050"/>
          <w:sz w:val="24"/>
          <w:szCs w:val="24"/>
          <w:lang w:val="en-US"/>
        </w:rPr>
        <w:t>9</w:t>
      </w:r>
      <w:r>
        <w:rPr>
          <w:rFonts w:cs="Times New Roman" w:ascii="Times New Roman" w:hAnsi="Times New Roman"/>
          <w:b/>
          <w:color w:val="00B050"/>
          <w:sz w:val="24"/>
          <w:szCs w:val="24"/>
        </w:rPr>
        <w:t xml:space="preserve"> марта 2024 г.</w:t>
      </w:r>
    </w:p>
    <w:p>
      <w:pPr>
        <w:pStyle w:val="Normal"/>
        <w:ind w:right="283" w:hanging="0"/>
        <w:rPr>
          <w:rFonts w:ascii="Times New Roman" w:hAnsi="Times New Roman" w:cs="Times New Roman"/>
        </w:rPr>
      </w:pPr>
      <w:r>
        <w:rPr>
          <w:rFonts w:cs="Times New Roman" w:ascii="Times New Roman" w:hAnsi="Times New Roman"/>
        </w:rPr>
      </w:r>
    </w:p>
    <w:p>
      <w:pPr>
        <w:pStyle w:val="Normal"/>
        <w:spacing w:before="240" w:after="200"/>
        <w:ind w:right="283" w:hanging="0"/>
        <w:jc w:val="center"/>
        <w:rPr>
          <w:rFonts w:ascii="Times New Roman" w:hAnsi="Times New Roman" w:cs="Times New Roman"/>
          <w:b/>
          <w:b/>
          <w:bCs/>
          <w:sz w:val="28"/>
          <w:szCs w:val="28"/>
        </w:rPr>
      </w:pPr>
      <w:r>
        <w:rPr>
          <w:rFonts w:cs="Times New Roman" w:ascii="Times New Roman" w:hAnsi="Times New Roman"/>
          <w:b/>
          <w:bCs/>
          <w:sz w:val="28"/>
          <w:szCs w:val="28"/>
        </w:rPr>
        <w:t>Предпосевная подготовка семян к весеннему севу</w:t>
      </w:r>
    </w:p>
    <w:p>
      <w:pPr>
        <w:pStyle w:val="Normal"/>
        <w:spacing w:lineRule="auto" w:line="240"/>
        <w:ind w:firstLine="709"/>
        <w:jc w:val="both"/>
        <w:rPr>
          <w:rFonts w:ascii="Times New Roman" w:hAnsi="Times New Roman" w:cs="Times New Roman"/>
          <w:sz w:val="26"/>
          <w:szCs w:val="26"/>
        </w:rPr>
      </w:pPr>
      <w:r>
        <w:rPr>
          <w:rFonts w:cs="Times New Roman" w:ascii="Times New Roman" w:hAnsi="Times New Roman"/>
          <w:sz w:val="26"/>
          <w:szCs w:val="26"/>
        </w:rPr>
        <w:t>На сегодняшний день, как никогда актуальна пословица «От плохого семени не жди хорошего племени». Очень важно хорошо подготовить семена к весеннему севу.</w:t>
      </w:r>
    </w:p>
    <w:p>
      <w:pPr>
        <w:pStyle w:val="Normal"/>
        <w:spacing w:lineRule="auto" w:line="240"/>
        <w:ind w:firstLine="709"/>
        <w:jc w:val="both"/>
        <w:rPr>
          <w:rFonts w:ascii="Times New Roman" w:hAnsi="Times New Roman" w:cs="Times New Roman"/>
          <w:sz w:val="26"/>
          <w:szCs w:val="26"/>
        </w:rPr>
      </w:pPr>
      <w:r>
        <w:rPr>
          <w:rFonts w:cs="Times New Roman" w:ascii="Times New Roman" w:hAnsi="Times New Roman"/>
          <w:sz w:val="26"/>
          <w:szCs w:val="26"/>
        </w:rPr>
        <w:t>Поэтому необходимо провести тщательную очистку и сортировку семенных партий. Семена должны соответствовать требованиям ГОСТ. Проверку семенного материала на посевные качества (всхожесть, чистота, наличие вредителей, болезней). Чем выше масса 1000 зерен, тем лучше будут физиологические и иммунные свойства растений. Качественно подготовленные семена повышают эффективность протравливания.</w:t>
      </w:r>
    </w:p>
    <w:p>
      <w:pPr>
        <w:pStyle w:val="Normal"/>
        <w:spacing w:lineRule="auto" w:line="240"/>
        <w:ind w:firstLine="709"/>
        <w:jc w:val="both"/>
        <w:rPr>
          <w:rFonts w:ascii="Times New Roman" w:hAnsi="Times New Roman" w:cs="Times New Roman"/>
          <w:sz w:val="26"/>
          <w:szCs w:val="26"/>
        </w:rPr>
      </w:pPr>
      <w:r>
        <w:rPr>
          <w:rFonts w:cs="Times New Roman" w:ascii="Times New Roman" w:hAnsi="Times New Roman"/>
          <w:sz w:val="26"/>
          <w:szCs w:val="26"/>
        </w:rPr>
        <w:t>Протравливание семян является обязательным приемом в технологии возделывания сельскохозяйственных культур, только согласно результатам фитоэкспертизы следует подбирать препараты для предпосевной обработки семян.</w:t>
      </w:r>
    </w:p>
    <w:p>
      <w:pPr>
        <w:pStyle w:val="Normal"/>
        <w:spacing w:lineRule="auto" w:line="240"/>
        <w:ind w:firstLine="709"/>
        <w:jc w:val="both"/>
        <w:rPr>
          <w:rFonts w:ascii="Times New Roman" w:hAnsi="Times New Roman" w:cs="Times New Roman"/>
          <w:i/>
          <w:i/>
          <w:iCs/>
          <w:sz w:val="26"/>
          <w:szCs w:val="26"/>
        </w:rPr>
      </w:pPr>
      <w:r>
        <w:rPr>
          <w:rFonts w:cs="Times New Roman" w:ascii="Times New Roman" w:hAnsi="Times New Roman"/>
          <w:sz w:val="26"/>
          <w:szCs w:val="26"/>
        </w:rPr>
        <w:t xml:space="preserve">Ежегодно специалистами филиала ФГБУ «Россельхозцентр» по Волгоградской области проводится анализ семенного материала на наличие патогенов. По итогам 2023 года было проанализировано 21,721 тыс. тонн семян яровых культур, средний процент заражения 17,3%. Семена озимых культур проанализированы в объеме 64,381 тыс. тонн, средний процент заражения 15%. </w:t>
      </w:r>
    </w:p>
    <w:p>
      <w:pPr>
        <w:pStyle w:val="Normal"/>
        <w:spacing w:lineRule="auto" w:line="240"/>
        <w:ind w:firstLine="709"/>
        <w:jc w:val="both"/>
        <w:rPr>
          <w:rFonts w:ascii="Times New Roman" w:hAnsi="Times New Roman" w:cs="Times New Roman"/>
          <w:sz w:val="26"/>
          <w:szCs w:val="26"/>
        </w:rPr>
      </w:pPr>
      <w:r>
        <w:rPr>
          <w:rFonts w:cs="Times New Roman" w:ascii="Times New Roman" w:hAnsi="Times New Roman"/>
          <w:sz w:val="26"/>
          <w:szCs w:val="26"/>
        </w:rPr>
        <w:t>Основными патогенами, обнаруженными при анализе семян, являются: фузариоз, гельминтоспориоз, альтернариоз, бактериоз, антракноз, аскохитоз, плесени.</w:t>
      </w:r>
    </w:p>
    <w:p>
      <w:pPr>
        <w:pStyle w:val="Normal"/>
        <w:spacing w:lineRule="auto" w:line="240"/>
        <w:ind w:firstLine="709"/>
        <w:jc w:val="both"/>
        <w:rPr>
          <w:rFonts w:ascii="Times New Roman" w:hAnsi="Times New Roman" w:cs="Times New Roman"/>
          <w:sz w:val="26"/>
          <w:szCs w:val="26"/>
        </w:rPr>
      </w:pPr>
      <w:r>
        <w:rPr>
          <w:rFonts w:cs="Times New Roman" w:ascii="Times New Roman" w:hAnsi="Times New Roman"/>
          <w:sz w:val="26"/>
          <w:szCs w:val="26"/>
        </w:rPr>
        <w:t>Фитоэкспертиза семян позволяет предвидеть возможную заражённость сельскохозяйственных растений болезнями и тем самым дает шанс сохранить их урожайность и качество собираемой продукции. Фунгицидный протравитель семян должен включать в себя как системные, так и контактные действующие вещества:</w:t>
      </w:r>
    </w:p>
    <w:p>
      <w:pPr>
        <w:pStyle w:val="Normal"/>
        <w:spacing w:lineRule="auto" w:line="240"/>
        <w:ind w:firstLine="709"/>
        <w:jc w:val="both"/>
        <w:rPr>
          <w:rFonts w:ascii="Times New Roman" w:hAnsi="Times New Roman" w:cs="Times New Roman"/>
          <w:sz w:val="26"/>
          <w:szCs w:val="26"/>
        </w:rPr>
      </w:pPr>
      <w:r>
        <w:rPr>
          <w:rFonts w:cs="Times New Roman" w:ascii="Times New Roman" w:hAnsi="Times New Roman"/>
          <w:sz w:val="26"/>
          <w:szCs w:val="26"/>
        </w:rPr>
        <w:t>Системные действия препарата обуславливает проникновение в семя и во вновь образующиеся части растения, они нужны для борьбы с внутрисеменной и ранней листостебельной инфекцией;</w:t>
      </w:r>
    </w:p>
    <w:p>
      <w:pPr>
        <w:pStyle w:val="Normal"/>
        <w:spacing w:lineRule="auto" w:line="240"/>
        <w:ind w:firstLine="709"/>
        <w:jc w:val="both"/>
        <w:rPr>
          <w:rFonts w:ascii="Times New Roman" w:hAnsi="Times New Roman" w:cs="Times New Roman"/>
          <w:sz w:val="26"/>
          <w:szCs w:val="26"/>
        </w:rPr>
      </w:pPr>
      <w:r>
        <w:rPr>
          <w:rFonts w:cs="Times New Roman" w:ascii="Times New Roman" w:hAnsi="Times New Roman"/>
          <w:sz w:val="26"/>
          <w:szCs w:val="26"/>
        </w:rPr>
        <w:t xml:space="preserve">Контактные действия вещества не способны проникать в растение, поэтому их концентрация в около семенной зоне продолжительное время снижается, они призваны дезинфицировать почву от патогенов, это важно для короткого севооборота. Выбранный препарат должен не только контролировать семенную инфекцию, но и на стадии прорастания защитить от почвенной инфекции, продолжительность защитного действия протравителя должна быть максимально длительной. Препараты на основе одного действующего вещества имеют более узкий диапазон активности. </w:t>
      </w:r>
    </w:p>
    <w:p>
      <w:pPr>
        <w:pStyle w:val="Normal"/>
        <w:spacing w:lineRule="auto" w:line="240"/>
        <w:ind w:firstLine="709"/>
        <w:jc w:val="both"/>
        <w:rPr>
          <w:rFonts w:ascii="Times New Roman" w:hAnsi="Times New Roman" w:cs="Times New Roman"/>
          <w:sz w:val="26"/>
          <w:szCs w:val="26"/>
        </w:rPr>
      </w:pPr>
      <w:r>
        <w:rPr>
          <w:rFonts w:cs="Times New Roman" w:ascii="Times New Roman" w:hAnsi="Times New Roman"/>
          <w:sz w:val="26"/>
          <w:szCs w:val="26"/>
        </w:rPr>
        <w:t>Поэтому при появлении нескольких патогенов необходимо применять многокомпонентные препараты системного действия.</w:t>
      </w:r>
    </w:p>
    <w:p>
      <w:pPr>
        <w:pStyle w:val="Normal"/>
        <w:spacing w:before="240" w:after="200"/>
        <w:ind w:right="283" w:firstLine="709"/>
        <w:jc w:val="center"/>
        <w:rPr>
          <w:rFonts w:ascii="Times New Roman" w:hAnsi="Times New Roman" w:cs="Times New Roman"/>
          <w:b/>
          <w:b/>
          <w:bCs/>
          <w:sz w:val="28"/>
          <w:szCs w:val="28"/>
        </w:rPr>
      </w:pPr>
      <w:r>
        <w:rPr>
          <w:rFonts w:cs="Times New Roman" w:ascii="Times New Roman" w:hAnsi="Times New Roman"/>
          <w:b/>
          <w:bCs/>
          <w:sz w:val="28"/>
          <w:szCs w:val="28"/>
        </w:rPr>
        <w:t>Основные патогены на семенах сельскохозяйственных культур</w:t>
      </w:r>
    </w:p>
    <w:tbl>
      <w:tblPr>
        <w:tblStyle w:val="a8"/>
        <w:tblW w:w="1034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689"/>
        <w:gridCol w:w="4535"/>
        <w:gridCol w:w="3119"/>
      </w:tblGrid>
      <w:tr>
        <w:trPr/>
        <w:tc>
          <w:tcPr>
            <w:tcW w:w="2689" w:type="dxa"/>
            <w:tcBorders/>
          </w:tcPr>
          <w:p>
            <w:pPr>
              <w:pStyle w:val="Normal"/>
              <w:widowControl/>
              <w:tabs>
                <w:tab w:val="clear" w:pos="708"/>
                <w:tab w:val="left" w:pos="1942" w:leader="none"/>
              </w:tabs>
              <w:suppressAutoHyphens w:val="true"/>
              <w:spacing w:before="0" w:after="200"/>
              <w:ind w:left="-117" w:right="283" w:hanging="0"/>
              <w:jc w:val="center"/>
              <w:rPr>
                <w:rFonts w:ascii="Times New Roman" w:hAnsi="Times New Roman" w:cs="Times New Roman"/>
                <w:b/>
                <w:b/>
                <w:bCs/>
              </w:rPr>
            </w:pPr>
            <w:r>
              <w:rPr>
                <w:rFonts w:eastAsia="Calibri" w:cs="Times New Roman" w:ascii="Times New Roman" w:hAnsi="Times New Roman"/>
                <w:b/>
                <w:bCs/>
                <w:kern w:val="0"/>
                <w:sz w:val="22"/>
                <w:szCs w:val="22"/>
                <w:lang w:val="ru-RU" w:eastAsia="en-US" w:bidi="ar-SA"/>
              </w:rPr>
              <w:t>Патоген</w:t>
            </w:r>
          </w:p>
        </w:tc>
        <w:tc>
          <w:tcPr>
            <w:tcW w:w="4535" w:type="dxa"/>
            <w:tcBorders/>
          </w:tcPr>
          <w:p>
            <w:pPr>
              <w:pStyle w:val="Normal"/>
              <w:widowControl/>
              <w:tabs>
                <w:tab w:val="clear" w:pos="708"/>
                <w:tab w:val="left" w:pos="1942" w:leader="none"/>
              </w:tabs>
              <w:suppressAutoHyphens w:val="true"/>
              <w:spacing w:before="0" w:after="0"/>
              <w:ind w:left="-117" w:right="283" w:hanging="0"/>
              <w:jc w:val="center"/>
              <w:rPr>
                <w:rFonts w:ascii="Times New Roman" w:hAnsi="Times New Roman" w:cs="Times New Roman"/>
                <w:b/>
                <w:b/>
                <w:bCs/>
              </w:rPr>
            </w:pPr>
            <w:r>
              <w:rPr>
                <w:rFonts w:eastAsia="Calibri" w:cs="Times New Roman" w:ascii="Times New Roman" w:hAnsi="Times New Roman"/>
                <w:b/>
                <w:bCs/>
                <w:kern w:val="0"/>
                <w:sz w:val="22"/>
                <w:szCs w:val="22"/>
                <w:lang w:val="ru-RU" w:eastAsia="en-US" w:bidi="ar-SA"/>
              </w:rPr>
              <w:t>Описание</w:t>
            </w:r>
          </w:p>
        </w:tc>
        <w:tc>
          <w:tcPr>
            <w:tcW w:w="3119" w:type="dxa"/>
            <w:tcBorders/>
          </w:tcPr>
          <w:p>
            <w:pPr>
              <w:pStyle w:val="Normal"/>
              <w:widowControl/>
              <w:tabs>
                <w:tab w:val="clear" w:pos="708"/>
                <w:tab w:val="left" w:pos="1942" w:leader="none"/>
              </w:tabs>
              <w:suppressAutoHyphens w:val="true"/>
              <w:spacing w:before="0" w:after="0"/>
              <w:ind w:left="-117" w:right="283" w:hanging="0"/>
              <w:jc w:val="center"/>
              <w:rPr>
                <w:rFonts w:ascii="Times New Roman" w:hAnsi="Times New Roman" w:cs="Times New Roman"/>
                <w:b/>
                <w:b/>
                <w:bCs/>
              </w:rPr>
            </w:pPr>
            <w:r>
              <w:rPr>
                <w:rFonts w:eastAsia="Calibri" w:cs="Times New Roman" w:ascii="Times New Roman" w:hAnsi="Times New Roman"/>
                <w:b/>
                <w:bCs/>
                <w:kern w:val="0"/>
                <w:sz w:val="22"/>
                <w:szCs w:val="22"/>
                <w:lang w:val="ru-RU" w:eastAsia="en-US" w:bidi="ar-SA"/>
              </w:rPr>
              <w:t>Действующие вещества</w:t>
            </w:r>
          </w:p>
          <w:p>
            <w:pPr>
              <w:pStyle w:val="Normal"/>
              <w:widowControl/>
              <w:tabs>
                <w:tab w:val="clear" w:pos="708"/>
                <w:tab w:val="left" w:pos="1942" w:leader="none"/>
              </w:tabs>
              <w:suppressAutoHyphens w:val="true"/>
              <w:spacing w:before="0" w:after="0"/>
              <w:ind w:left="-117" w:right="283" w:hanging="0"/>
              <w:jc w:val="center"/>
              <w:rPr>
                <w:rFonts w:ascii="Times New Roman" w:hAnsi="Times New Roman" w:cs="Times New Roman"/>
                <w:b/>
                <w:b/>
                <w:bCs/>
              </w:rPr>
            </w:pPr>
            <w:r>
              <w:rPr>
                <w:rFonts w:eastAsia="Calibri" w:cs="Times New Roman" w:ascii="Times New Roman" w:hAnsi="Times New Roman"/>
                <w:b/>
                <w:bCs/>
                <w:kern w:val="0"/>
                <w:sz w:val="22"/>
                <w:szCs w:val="22"/>
                <w:lang w:val="ru-RU" w:eastAsia="en-US" w:bidi="ar-SA"/>
              </w:rPr>
              <w:t>фунгицидов</w:t>
            </w:r>
          </w:p>
        </w:tc>
      </w:tr>
      <w:tr>
        <w:trPr/>
        <w:tc>
          <w:tcPr>
            <w:tcW w:w="2689" w:type="dxa"/>
            <w:tcBorders/>
          </w:tcPr>
          <w:p>
            <w:pPr>
              <w:pStyle w:val="Normal"/>
              <w:widowControl/>
              <w:tabs>
                <w:tab w:val="clear" w:pos="708"/>
                <w:tab w:val="left" w:pos="1942" w:leader="none"/>
              </w:tabs>
              <w:suppressAutoHyphens w:val="true"/>
              <w:spacing w:before="0" w:after="0"/>
              <w:ind w:left="-117" w:right="283" w:hanging="0"/>
              <w:jc w:val="center"/>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Фузариоз</w:t>
            </w:r>
            <w:r>
              <w:rPr>
                <w:rFonts w:eastAsia="Symbol" w:cs="Symbol" w:ascii="Symbol" w:hAnsi="Symbol"/>
                <w:kern w:val="0"/>
                <w:sz w:val="22"/>
                <w:szCs w:val="22"/>
                <w:lang w:val="ru-RU" w:eastAsia="en-US" w:bidi="ar-SA"/>
              </w:rPr>
              <w:t></w:t>
            </w:r>
          </w:p>
          <w:p>
            <w:pPr>
              <w:pStyle w:val="Normal"/>
              <w:widowControl/>
              <w:tabs>
                <w:tab w:val="clear" w:pos="708"/>
                <w:tab w:val="left" w:pos="1942" w:leader="none"/>
              </w:tabs>
              <w:suppressAutoHyphens w:val="true"/>
              <w:spacing w:before="0" w:after="0"/>
              <w:ind w:left="-117" w:right="283" w:hanging="0"/>
              <w:jc w:val="center"/>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p>
            <w:pPr>
              <w:pStyle w:val="Normal"/>
              <w:widowControl/>
              <w:tabs>
                <w:tab w:val="clear" w:pos="708"/>
                <w:tab w:val="left" w:pos="1942" w:leader="none"/>
              </w:tabs>
              <w:suppressAutoHyphens w:val="true"/>
              <w:spacing w:before="0" w:after="0"/>
              <w:ind w:left="-117" w:right="283" w:hanging="0"/>
              <w:jc w:val="center"/>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4535" w:type="dxa"/>
            <w:tcBorders/>
          </w:tcPr>
          <w:p>
            <w:pPr>
              <w:pStyle w:val="Normal"/>
              <w:widowControl/>
              <w:tabs>
                <w:tab w:val="clear" w:pos="708"/>
                <w:tab w:val="left" w:pos="1942" w:leader="none"/>
              </w:tabs>
              <w:suppressAutoHyphens w:val="true"/>
              <w:spacing w:before="0" w:after="0"/>
              <w:ind w:right="283" w:hanging="0"/>
              <w:jc w:val="left"/>
              <w:rPr>
                <w:rFonts w:ascii="Times New Roman" w:hAnsi="Times New Roman" w:cs="Times New Roman"/>
              </w:rPr>
            </w:pPr>
            <w:r>
              <w:rPr>
                <w:rFonts w:eastAsia="Calibri" w:cs="Times New Roman" w:ascii="Times New Roman" w:hAnsi="Times New Roman"/>
                <w:kern w:val="0"/>
                <w:sz w:val="22"/>
                <w:szCs w:val="22"/>
                <w:lang w:val="ru-RU" w:eastAsia="en-US" w:bidi="ar-SA"/>
              </w:rPr>
              <w:t xml:space="preserve">Вызывает значительные потери и ухудшение качества собранного урожая. Поражение фузариозом приводит к снижению энергии прорастания и всхожести семян. Прямые потери урожая могут составить до 20%. </w:t>
            </w:r>
            <w:r>
              <w:rPr>
                <w:rFonts w:eastAsia="Calibri"/>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 xml:space="preserve">Основной вред заключается в накоплении микотоксинов, которые делают зерно непригодным для использования в пищу человеком и на корм животным. </w:t>
            </w:r>
          </w:p>
        </w:tc>
        <w:tc>
          <w:tcPr>
            <w:tcW w:w="3119" w:type="dxa"/>
            <w:tcBorders/>
          </w:tcPr>
          <w:p>
            <w:pPr>
              <w:pStyle w:val="Normal"/>
              <w:widowControl/>
              <w:tabs>
                <w:tab w:val="clear" w:pos="708"/>
                <w:tab w:val="left" w:pos="1942" w:leader="none"/>
              </w:tabs>
              <w:suppressAutoHyphens w:val="true"/>
              <w:spacing w:before="0" w:after="0"/>
              <w:ind w:left="31" w:right="283" w:hanging="0"/>
              <w:jc w:val="center"/>
              <w:rPr>
                <w:rFonts w:ascii="Times New Roman" w:hAnsi="Times New Roman" w:cs="Times New Roman"/>
              </w:rPr>
            </w:pPr>
            <w:r>
              <w:rPr>
                <w:rFonts w:eastAsia="Calibri" w:cs="Times New Roman" w:ascii="Times New Roman" w:hAnsi="Times New Roman"/>
                <w:kern w:val="0"/>
                <w:sz w:val="22"/>
                <w:szCs w:val="22"/>
                <w:lang w:val="ru-RU" w:eastAsia="en-US" w:bidi="ar-SA"/>
              </w:rPr>
            </w:r>
          </w:p>
          <w:p>
            <w:pPr>
              <w:pStyle w:val="Normal"/>
              <w:widowControl/>
              <w:tabs>
                <w:tab w:val="clear" w:pos="708"/>
                <w:tab w:val="left" w:pos="1942" w:leader="none"/>
              </w:tabs>
              <w:suppressAutoHyphens w:val="true"/>
              <w:spacing w:before="0" w:after="0"/>
              <w:ind w:left="31" w:right="283" w:hanging="0"/>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Протиоконазол, прохлораз,</w:t>
            </w:r>
          </w:p>
          <w:p>
            <w:pPr>
              <w:pStyle w:val="Normal"/>
              <w:widowControl/>
              <w:tabs>
                <w:tab w:val="clear" w:pos="708"/>
                <w:tab w:val="left" w:pos="1942" w:leader="none"/>
              </w:tabs>
              <w:suppressAutoHyphens w:val="true"/>
              <w:spacing w:before="0" w:after="0"/>
              <w:ind w:left="31" w:right="283" w:hanging="0"/>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флудиоксонил и др.</w:t>
            </w:r>
          </w:p>
        </w:tc>
      </w:tr>
      <w:tr>
        <w:trPr>
          <w:trHeight w:val="1526" w:hRule="atLeast"/>
        </w:trPr>
        <w:tc>
          <w:tcPr>
            <w:tcW w:w="2689" w:type="dxa"/>
            <w:tcBorders/>
          </w:tcPr>
          <w:p>
            <w:pPr>
              <w:pStyle w:val="Normal"/>
              <w:widowControl/>
              <w:tabs>
                <w:tab w:val="clear" w:pos="708"/>
                <w:tab w:val="left" w:pos="1942" w:leader="none"/>
              </w:tabs>
              <w:suppressAutoHyphens w:val="true"/>
              <w:spacing w:before="0" w:after="0"/>
              <w:ind w:left="29" w:right="283" w:hanging="0"/>
              <w:jc w:val="center"/>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Гельминтоспориоз</w:t>
            </w:r>
            <w:r>
              <w:rPr>
                <w:rFonts w:eastAsia="Symbol" w:cs="Symbol" w:ascii="Symbol" w:hAnsi="Symbol"/>
                <w:kern w:val="0"/>
                <w:sz w:val="22"/>
                <w:szCs w:val="22"/>
                <w:lang w:val="ru-RU" w:eastAsia="en-US" w:bidi="ar-SA"/>
              </w:rPr>
              <w:t></w:t>
            </w:r>
          </w:p>
          <w:p>
            <w:pPr>
              <w:pStyle w:val="Normal"/>
              <w:widowControl/>
              <w:tabs>
                <w:tab w:val="clear" w:pos="708"/>
                <w:tab w:val="left" w:pos="1942" w:leader="none"/>
              </w:tabs>
              <w:suppressAutoHyphens w:val="true"/>
              <w:spacing w:before="0" w:after="0"/>
              <w:ind w:left="29" w:right="283" w:hanging="0"/>
              <w:jc w:val="center"/>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p>
            <w:pPr>
              <w:pStyle w:val="Normal"/>
              <w:widowControl/>
              <w:tabs>
                <w:tab w:val="clear" w:pos="708"/>
                <w:tab w:val="left" w:pos="1942" w:leader="none"/>
              </w:tabs>
              <w:suppressAutoHyphens w:val="true"/>
              <w:spacing w:before="0" w:after="0"/>
              <w:ind w:left="29" w:right="283" w:hanging="0"/>
              <w:jc w:val="center"/>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4535" w:type="dxa"/>
            <w:tcBorders/>
          </w:tcPr>
          <w:p>
            <w:pPr>
              <w:pStyle w:val="Normal"/>
              <w:widowControl/>
              <w:tabs>
                <w:tab w:val="clear" w:pos="708"/>
                <w:tab w:val="left" w:pos="1942" w:leader="none"/>
              </w:tabs>
              <w:suppressAutoHyphens w:val="true"/>
              <w:spacing w:before="0" w:after="0"/>
              <w:ind w:right="283" w:hanging="0"/>
              <w:jc w:val="left"/>
              <w:rPr>
                <w:rFonts w:ascii="Times New Roman" w:hAnsi="Times New Roman" w:cs="Times New Roman"/>
              </w:rPr>
            </w:pPr>
            <w:r>
              <w:rPr>
                <w:rFonts w:eastAsia="Calibri" w:cs="Times New Roman" w:ascii="Times New Roman" w:hAnsi="Times New Roman"/>
                <w:kern w:val="0"/>
                <w:sz w:val="22"/>
                <w:szCs w:val="22"/>
                <w:lang w:val="ru-RU" w:eastAsia="en-US" w:bidi="ar-SA"/>
              </w:rPr>
              <w:t xml:space="preserve">Поражает корневую систему стадии ee формирования, узел кущения, что ведет к изреживанию посевов и на 40% уменьшает формирование продуктивных стеблей. </w:t>
            </w:r>
          </w:p>
        </w:tc>
        <w:tc>
          <w:tcPr>
            <w:tcW w:w="3119" w:type="dxa"/>
            <w:tcBorders/>
          </w:tcPr>
          <w:p>
            <w:pPr>
              <w:pStyle w:val="Normal"/>
              <w:widowControl/>
              <w:tabs>
                <w:tab w:val="clear" w:pos="708"/>
                <w:tab w:val="left" w:pos="1942" w:leader="none"/>
              </w:tabs>
              <w:suppressAutoHyphens w:val="true"/>
              <w:spacing w:before="0" w:after="0"/>
              <w:ind w:left="31" w:right="283" w:hanging="0"/>
              <w:jc w:val="center"/>
              <w:rPr>
                <w:rFonts w:ascii="Times New Roman" w:hAnsi="Times New Roman" w:cs="Times New Roman"/>
              </w:rPr>
            </w:pPr>
            <w:r>
              <w:rPr>
                <w:rFonts w:eastAsia="Calibri" w:cs="Times New Roman" w:ascii="Times New Roman" w:hAnsi="Times New Roman"/>
                <w:kern w:val="0"/>
                <w:sz w:val="22"/>
                <w:szCs w:val="22"/>
                <w:lang w:val="ru-RU" w:eastAsia="en-US" w:bidi="ar-SA"/>
              </w:rPr>
            </w:r>
          </w:p>
          <w:p>
            <w:pPr>
              <w:pStyle w:val="Normal"/>
              <w:widowControl/>
              <w:tabs>
                <w:tab w:val="clear" w:pos="708"/>
                <w:tab w:val="left" w:pos="1942" w:leader="none"/>
              </w:tabs>
              <w:suppressAutoHyphens w:val="true"/>
              <w:spacing w:before="0" w:after="0"/>
              <w:ind w:left="31" w:right="283" w:hanging="0"/>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Прохлораз, флудиоксонил,</w:t>
            </w:r>
          </w:p>
          <w:p>
            <w:pPr>
              <w:pStyle w:val="Normal"/>
              <w:widowControl/>
              <w:tabs>
                <w:tab w:val="clear" w:pos="708"/>
                <w:tab w:val="left" w:pos="1942" w:leader="none"/>
              </w:tabs>
              <w:suppressAutoHyphens w:val="true"/>
              <w:spacing w:before="0" w:after="0"/>
              <w:ind w:left="31" w:right="283" w:hanging="0"/>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дифеноконазол и др.</w:t>
            </w:r>
          </w:p>
        </w:tc>
      </w:tr>
      <w:tr>
        <w:trPr>
          <w:trHeight w:val="2483" w:hRule="atLeast"/>
        </w:trPr>
        <w:tc>
          <w:tcPr>
            <w:tcW w:w="2689" w:type="dxa"/>
            <w:tcBorders/>
          </w:tcPr>
          <w:p>
            <w:pPr>
              <w:pStyle w:val="Normal"/>
              <w:widowControl/>
              <w:tabs>
                <w:tab w:val="clear" w:pos="708"/>
                <w:tab w:val="left" w:pos="1942" w:leader="none"/>
              </w:tabs>
              <w:suppressAutoHyphens w:val="true"/>
              <w:spacing w:before="0" w:after="0"/>
              <w:ind w:left="-117" w:right="283" w:hanging="0"/>
              <w:jc w:val="center"/>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Альтернариоз</w:t>
            </w:r>
          </w:p>
          <w:p>
            <w:pPr>
              <w:pStyle w:val="Normal"/>
              <w:widowControl/>
              <w:tabs>
                <w:tab w:val="clear" w:pos="708"/>
                <w:tab w:val="left" w:pos="1942" w:leader="none"/>
              </w:tabs>
              <w:suppressAutoHyphens w:val="true"/>
              <w:spacing w:before="0" w:after="0"/>
              <w:ind w:left="-117" w:right="283" w:hanging="0"/>
              <w:jc w:val="center"/>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p>
            <w:pPr>
              <w:pStyle w:val="Normal"/>
              <w:widowControl/>
              <w:tabs>
                <w:tab w:val="clear" w:pos="708"/>
                <w:tab w:val="left" w:pos="1942" w:leader="none"/>
              </w:tabs>
              <w:suppressAutoHyphens w:val="true"/>
              <w:spacing w:before="0" w:after="0"/>
              <w:ind w:left="-117" w:right="283" w:hanging="0"/>
              <w:jc w:val="center"/>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4535" w:type="dxa"/>
            <w:tcBorders/>
          </w:tcPr>
          <w:p>
            <w:pPr>
              <w:pStyle w:val="Normal"/>
              <w:widowControl/>
              <w:tabs>
                <w:tab w:val="clear" w:pos="708"/>
                <w:tab w:val="left" w:pos="1942" w:leader="none"/>
              </w:tabs>
              <w:suppressAutoHyphens w:val="true"/>
              <w:spacing w:before="0" w:after="0"/>
              <w:ind w:right="283" w:hanging="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Поражает зерновые культуры повсеместно. Грибы заселяют семена во время развития растения в поле до уборки. Заражение происходит в период цветения, молочной и молочно-восковой спелости. При поражении альтернариозом снижается энергия прорастания и всхожесть семян, а также выход товарного зерна</w:t>
            </w:r>
          </w:p>
        </w:tc>
        <w:tc>
          <w:tcPr>
            <w:tcW w:w="3119" w:type="dxa"/>
            <w:tcBorders/>
          </w:tcPr>
          <w:p>
            <w:pPr>
              <w:pStyle w:val="Normal"/>
              <w:widowControl/>
              <w:tabs>
                <w:tab w:val="clear" w:pos="708"/>
                <w:tab w:val="left" w:pos="1942" w:leader="none"/>
              </w:tabs>
              <w:suppressAutoHyphens w:val="true"/>
              <w:spacing w:before="0" w:after="0"/>
              <w:ind w:left="31" w:right="283" w:hanging="0"/>
              <w:jc w:val="center"/>
              <w:rPr>
                <w:rFonts w:ascii="Times New Roman" w:hAnsi="Times New Roman" w:cs="Times New Roman"/>
              </w:rPr>
            </w:pPr>
            <w:r>
              <w:rPr>
                <w:rFonts w:eastAsia="Calibri" w:cs="Times New Roman" w:ascii="Times New Roman" w:hAnsi="Times New Roman"/>
                <w:kern w:val="0"/>
                <w:sz w:val="22"/>
                <w:szCs w:val="22"/>
                <w:lang w:val="ru-RU" w:eastAsia="en-US" w:bidi="ar-SA"/>
              </w:rPr>
            </w:r>
          </w:p>
          <w:p>
            <w:pPr>
              <w:pStyle w:val="Normal"/>
              <w:widowControl/>
              <w:tabs>
                <w:tab w:val="clear" w:pos="708"/>
                <w:tab w:val="left" w:pos="1942" w:leader="none"/>
              </w:tabs>
              <w:suppressAutoHyphens w:val="true"/>
              <w:spacing w:before="0" w:after="0"/>
              <w:ind w:left="31" w:right="283" w:hanging="0"/>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Дифеноконазол,</w:t>
            </w:r>
          </w:p>
          <w:p>
            <w:pPr>
              <w:pStyle w:val="Normal"/>
              <w:widowControl/>
              <w:tabs>
                <w:tab w:val="clear" w:pos="708"/>
                <w:tab w:val="left" w:pos="1942" w:leader="none"/>
              </w:tabs>
              <w:suppressAutoHyphens w:val="true"/>
              <w:spacing w:before="0" w:after="0"/>
              <w:ind w:left="31" w:right="283" w:hanging="0"/>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ципроконазол, флутриафол</w:t>
            </w:r>
          </w:p>
          <w:p>
            <w:pPr>
              <w:pStyle w:val="Normal"/>
              <w:widowControl/>
              <w:tabs>
                <w:tab w:val="clear" w:pos="708"/>
                <w:tab w:val="left" w:pos="1942" w:leader="none"/>
              </w:tabs>
              <w:suppressAutoHyphens w:val="true"/>
              <w:spacing w:before="0" w:after="0"/>
              <w:ind w:left="31" w:right="283" w:hanging="0"/>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и др.</w:t>
            </w:r>
          </w:p>
        </w:tc>
      </w:tr>
      <w:tr>
        <w:trPr>
          <w:trHeight w:val="1992" w:hRule="atLeast"/>
        </w:trPr>
        <w:tc>
          <w:tcPr>
            <w:tcW w:w="2689" w:type="dxa"/>
            <w:tcBorders/>
          </w:tcPr>
          <w:p>
            <w:pPr>
              <w:pStyle w:val="Normal"/>
              <w:widowControl/>
              <w:tabs>
                <w:tab w:val="clear" w:pos="708"/>
                <w:tab w:val="left" w:pos="1942" w:leader="none"/>
              </w:tabs>
              <w:suppressAutoHyphens w:val="true"/>
              <w:spacing w:before="0" w:after="0"/>
              <w:ind w:left="-117" w:right="283" w:hanging="0"/>
              <w:jc w:val="center"/>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Бактериоз</w:t>
            </w:r>
          </w:p>
          <w:p>
            <w:pPr>
              <w:pStyle w:val="Normal"/>
              <w:widowControl/>
              <w:tabs>
                <w:tab w:val="clear" w:pos="708"/>
                <w:tab w:val="left" w:pos="1942" w:leader="none"/>
              </w:tabs>
              <w:suppressAutoHyphens w:val="true"/>
              <w:spacing w:before="0" w:after="0"/>
              <w:ind w:left="-117" w:right="283" w:hanging="0"/>
              <w:jc w:val="center"/>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p>
            <w:pPr>
              <w:pStyle w:val="Normal"/>
              <w:widowControl/>
              <w:tabs>
                <w:tab w:val="clear" w:pos="708"/>
                <w:tab w:val="left" w:pos="1942" w:leader="none"/>
              </w:tabs>
              <w:suppressAutoHyphens w:val="true"/>
              <w:spacing w:before="0" w:after="0"/>
              <w:ind w:left="-117" w:right="283" w:hanging="0"/>
              <w:jc w:val="center"/>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tc>
        <w:tc>
          <w:tcPr>
            <w:tcW w:w="4535" w:type="dxa"/>
            <w:tcBorders/>
          </w:tcPr>
          <w:p>
            <w:pPr>
              <w:pStyle w:val="Normal"/>
              <w:widowControl/>
              <w:tabs>
                <w:tab w:val="clear" w:pos="708"/>
                <w:tab w:val="left" w:pos="1942" w:leader="none"/>
              </w:tabs>
              <w:suppressAutoHyphens w:val="true"/>
              <w:spacing w:before="0" w:after="0"/>
              <w:ind w:right="283" w:hanging="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Вызывает загнивание семян в почве, особенно при влажной погоде. Недобор урожая от бактериозов может достигать 20% и более. Бактерии могут быть на поверхности семян и в растительных остатках</w:t>
            </w:r>
          </w:p>
        </w:tc>
        <w:tc>
          <w:tcPr>
            <w:tcW w:w="3119" w:type="dxa"/>
            <w:tcBorders/>
          </w:tcPr>
          <w:p>
            <w:pPr>
              <w:pStyle w:val="Normal"/>
              <w:widowControl/>
              <w:tabs>
                <w:tab w:val="clear" w:pos="708"/>
                <w:tab w:val="left" w:pos="1942" w:leader="none"/>
              </w:tabs>
              <w:suppressAutoHyphens w:val="true"/>
              <w:spacing w:before="0" w:after="0"/>
              <w:ind w:left="-117" w:right="283" w:hanging="0"/>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Тирам, bacillus subtilis</w:t>
            </w:r>
          </w:p>
        </w:tc>
      </w:tr>
      <w:tr>
        <w:trPr>
          <w:trHeight w:val="1223" w:hRule="atLeast"/>
        </w:trPr>
        <w:tc>
          <w:tcPr>
            <w:tcW w:w="2689" w:type="dxa"/>
            <w:tcBorders/>
          </w:tcPr>
          <w:p>
            <w:pPr>
              <w:pStyle w:val="Normal"/>
              <w:widowControl/>
              <w:tabs>
                <w:tab w:val="clear" w:pos="708"/>
                <w:tab w:val="left" w:pos="1942" w:leader="none"/>
              </w:tabs>
              <w:suppressAutoHyphens w:val="true"/>
              <w:spacing w:before="0" w:after="0"/>
              <w:ind w:left="-117" w:right="283" w:hanging="0"/>
              <w:jc w:val="center"/>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Антракноз</w:t>
            </w:r>
          </w:p>
          <w:p>
            <w:pPr>
              <w:pStyle w:val="Normal"/>
              <w:widowControl/>
              <w:tabs>
                <w:tab w:val="clear" w:pos="708"/>
                <w:tab w:val="left" w:pos="1942" w:leader="none"/>
              </w:tabs>
              <w:suppressAutoHyphens w:val="true"/>
              <w:spacing w:before="0" w:after="0"/>
              <w:ind w:left="-117" w:right="283" w:hanging="0"/>
              <w:jc w:val="center"/>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4535" w:type="dxa"/>
            <w:tcBorders/>
          </w:tcPr>
          <w:p>
            <w:pPr>
              <w:pStyle w:val="Normal"/>
              <w:widowControl/>
              <w:tabs>
                <w:tab w:val="clear" w:pos="708"/>
                <w:tab w:val="left" w:pos="1942" w:leader="none"/>
              </w:tabs>
              <w:suppressAutoHyphens w:val="true"/>
              <w:spacing w:before="0" w:after="0"/>
              <w:ind w:right="283" w:hanging="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Вызывает повреждение корешков проростков, отставание в росте. Потери урожая до 30%</w:t>
            </w:r>
          </w:p>
        </w:tc>
        <w:tc>
          <w:tcPr>
            <w:tcW w:w="3119" w:type="dxa"/>
            <w:tcBorders/>
          </w:tcPr>
          <w:p>
            <w:pPr>
              <w:pStyle w:val="Normal"/>
              <w:widowControl/>
              <w:tabs>
                <w:tab w:val="clear" w:pos="708"/>
                <w:tab w:val="left" w:pos="1942" w:leader="none"/>
              </w:tabs>
              <w:suppressAutoHyphens w:val="true"/>
              <w:spacing w:before="0" w:after="0"/>
              <w:ind w:left="-117" w:right="283" w:hanging="0"/>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Тирам, тебуконазол,</w:t>
            </w:r>
          </w:p>
          <w:p>
            <w:pPr>
              <w:pStyle w:val="Normal"/>
              <w:widowControl/>
              <w:tabs>
                <w:tab w:val="clear" w:pos="708"/>
                <w:tab w:val="left" w:pos="1942" w:leader="none"/>
              </w:tabs>
              <w:suppressAutoHyphens w:val="true"/>
              <w:spacing w:before="0" w:after="0"/>
              <w:ind w:left="-117" w:right="283" w:hanging="0"/>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флутриафол и др.</w:t>
            </w:r>
          </w:p>
        </w:tc>
      </w:tr>
      <w:tr>
        <w:trPr>
          <w:trHeight w:val="2186" w:hRule="atLeast"/>
        </w:trPr>
        <w:tc>
          <w:tcPr>
            <w:tcW w:w="2689" w:type="dxa"/>
            <w:tcBorders/>
          </w:tcPr>
          <w:p>
            <w:pPr>
              <w:pStyle w:val="Normal"/>
              <w:widowControl/>
              <w:tabs>
                <w:tab w:val="clear" w:pos="708"/>
                <w:tab w:val="left" w:pos="1942" w:leader="none"/>
              </w:tabs>
              <w:suppressAutoHyphens w:val="true"/>
              <w:spacing w:before="0" w:after="0"/>
              <w:ind w:left="-117" w:right="283" w:hanging="0"/>
              <w:jc w:val="center"/>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Аскохитоз</w:t>
            </w:r>
          </w:p>
          <w:p>
            <w:pPr>
              <w:pStyle w:val="Normal"/>
              <w:widowControl/>
              <w:tabs>
                <w:tab w:val="clear" w:pos="708"/>
                <w:tab w:val="left" w:pos="1942" w:leader="none"/>
              </w:tabs>
              <w:suppressAutoHyphens w:val="true"/>
              <w:spacing w:before="0" w:after="0"/>
              <w:ind w:left="-117" w:right="283" w:hanging="0"/>
              <w:jc w:val="center"/>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p>
            <w:pPr>
              <w:pStyle w:val="Normal"/>
              <w:widowControl/>
              <w:tabs>
                <w:tab w:val="clear" w:pos="708"/>
                <w:tab w:val="left" w:pos="1942" w:leader="none"/>
              </w:tabs>
              <w:suppressAutoHyphens w:val="true"/>
              <w:spacing w:before="0" w:after="0"/>
              <w:ind w:left="-117" w:right="283" w:hanging="0"/>
              <w:jc w:val="center"/>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4535" w:type="dxa"/>
            <w:tcBorders/>
          </w:tcPr>
          <w:p>
            <w:pPr>
              <w:pStyle w:val="Normal"/>
              <w:widowControl/>
              <w:tabs>
                <w:tab w:val="clear" w:pos="708"/>
                <w:tab w:val="left" w:pos="1942" w:leader="none"/>
              </w:tabs>
              <w:suppressAutoHyphens w:val="true"/>
              <w:spacing w:before="0" w:after="0"/>
              <w:ind w:right="283" w:hanging="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Задерживает развитие и рост растений. Листья преждевременно усыхают и опадают. Семена в бобах созревают неравномерно, оставаясь щуплыми.</w:t>
            </w:r>
          </w:p>
          <w:p>
            <w:pPr>
              <w:pStyle w:val="Normal"/>
              <w:widowControl/>
              <w:tabs>
                <w:tab w:val="clear" w:pos="708"/>
                <w:tab w:val="left" w:pos="1942" w:leader="none"/>
              </w:tabs>
              <w:suppressAutoHyphens w:val="true"/>
              <w:spacing w:before="0" w:after="0"/>
              <w:ind w:right="283" w:hanging="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Полученные семена не имеет достаточной энергии прорастания и отличается низкой всхожестью. Потери урожая до 50%</w:t>
            </w:r>
          </w:p>
        </w:tc>
        <w:tc>
          <w:tcPr>
            <w:tcW w:w="3119" w:type="dxa"/>
            <w:tcBorders/>
          </w:tcPr>
          <w:p>
            <w:pPr>
              <w:pStyle w:val="Normal"/>
              <w:widowControl/>
              <w:tabs>
                <w:tab w:val="clear" w:pos="708"/>
                <w:tab w:val="left" w:pos="1942" w:leader="none"/>
              </w:tabs>
              <w:suppressAutoHyphens w:val="true"/>
              <w:spacing w:before="0" w:after="0"/>
              <w:ind w:left="-117" w:right="283" w:hanging="0"/>
              <w:jc w:val="center"/>
              <w:rPr>
                <w:rFonts w:ascii="Times New Roman" w:hAnsi="Times New Roman" w:cs="Times New Roman"/>
              </w:rPr>
            </w:pPr>
            <w:r>
              <w:rPr>
                <w:rFonts w:eastAsia="Calibri" w:cs="Times New Roman" w:ascii="Times New Roman" w:hAnsi="Times New Roman"/>
                <w:kern w:val="0"/>
                <w:sz w:val="22"/>
                <w:szCs w:val="22"/>
                <w:lang w:val="ru-RU" w:eastAsia="en-US" w:bidi="ar-SA"/>
              </w:rPr>
            </w:r>
          </w:p>
          <w:p>
            <w:pPr>
              <w:pStyle w:val="Normal"/>
              <w:widowControl/>
              <w:tabs>
                <w:tab w:val="clear" w:pos="708"/>
                <w:tab w:val="left" w:pos="1942" w:leader="none"/>
              </w:tabs>
              <w:suppressAutoHyphens w:val="true"/>
              <w:spacing w:before="0" w:after="0"/>
              <w:ind w:left="-117" w:right="283" w:hanging="0"/>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Тебуконазол, имазалил,</w:t>
            </w:r>
          </w:p>
          <w:p>
            <w:pPr>
              <w:pStyle w:val="Normal"/>
              <w:widowControl/>
              <w:tabs>
                <w:tab w:val="clear" w:pos="708"/>
                <w:tab w:val="left" w:pos="1942" w:leader="none"/>
              </w:tabs>
              <w:suppressAutoHyphens w:val="true"/>
              <w:spacing w:before="0" w:after="0"/>
              <w:ind w:left="-117" w:right="283" w:hanging="0"/>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флудиоксанил и др.</w:t>
            </w:r>
          </w:p>
        </w:tc>
      </w:tr>
      <w:tr>
        <w:trPr>
          <w:trHeight w:val="856" w:hRule="atLeast"/>
        </w:trPr>
        <w:tc>
          <w:tcPr>
            <w:tcW w:w="2689" w:type="dxa"/>
            <w:tcBorders/>
          </w:tcPr>
          <w:p>
            <w:pPr>
              <w:pStyle w:val="Normal"/>
              <w:widowControl/>
              <w:tabs>
                <w:tab w:val="clear" w:pos="708"/>
                <w:tab w:val="left" w:pos="1942" w:leader="none"/>
              </w:tabs>
              <w:suppressAutoHyphens w:val="true"/>
              <w:spacing w:before="0" w:after="0"/>
              <w:ind w:left="-117" w:right="283" w:hanging="0"/>
              <w:jc w:val="center"/>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Плесневение</w:t>
            </w:r>
          </w:p>
          <w:p>
            <w:pPr>
              <w:pStyle w:val="Normal"/>
              <w:widowControl/>
              <w:tabs>
                <w:tab w:val="clear" w:pos="708"/>
                <w:tab w:val="left" w:pos="1942" w:leader="none"/>
              </w:tabs>
              <w:suppressAutoHyphens w:val="true"/>
              <w:spacing w:before="0" w:after="0"/>
              <w:ind w:left="-117" w:right="283" w:hanging="0"/>
              <w:jc w:val="center"/>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r>
          </w:p>
          <w:p>
            <w:pPr>
              <w:pStyle w:val="Normal"/>
              <w:widowControl/>
              <w:tabs>
                <w:tab w:val="clear" w:pos="708"/>
                <w:tab w:val="left" w:pos="1942" w:leader="none"/>
              </w:tabs>
              <w:suppressAutoHyphens w:val="true"/>
              <w:spacing w:before="0" w:after="0"/>
              <w:ind w:left="-117" w:right="283" w:hanging="0"/>
              <w:jc w:val="center"/>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4535" w:type="dxa"/>
            <w:tcBorders/>
          </w:tcPr>
          <w:p>
            <w:pPr>
              <w:pStyle w:val="Normal"/>
              <w:widowControl/>
              <w:tabs>
                <w:tab w:val="clear" w:pos="708"/>
                <w:tab w:val="left" w:pos="1942" w:leader="none"/>
              </w:tabs>
              <w:suppressAutoHyphens w:val="true"/>
              <w:spacing w:before="0" w:after="0"/>
              <w:ind w:right="283" w:hanging="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Поверхностные патогены, и их активность в большей степени проявляется при долгом прорастании зерновки</w:t>
            </w:r>
          </w:p>
        </w:tc>
        <w:tc>
          <w:tcPr>
            <w:tcW w:w="3119" w:type="dxa"/>
            <w:tcBorders/>
          </w:tcPr>
          <w:p>
            <w:pPr>
              <w:pStyle w:val="Normal"/>
              <w:widowControl/>
              <w:tabs>
                <w:tab w:val="clear" w:pos="708"/>
                <w:tab w:val="left" w:pos="1942" w:leader="none"/>
              </w:tabs>
              <w:suppressAutoHyphens w:val="true"/>
              <w:spacing w:before="0" w:after="0"/>
              <w:ind w:right="283" w:hanging="0"/>
              <w:jc w:val="center"/>
              <w:rPr>
                <w:rFonts w:ascii="Times New Roman" w:hAnsi="Times New Roman" w:cs="Times New Roman"/>
              </w:rPr>
            </w:pPr>
            <w:r>
              <w:rPr>
                <w:rFonts w:eastAsia="Calibri" w:cs="Times New Roman" w:ascii="Times New Roman" w:hAnsi="Times New Roman"/>
                <w:kern w:val="0"/>
                <w:sz w:val="22"/>
                <w:szCs w:val="22"/>
                <w:lang w:val="ru-RU" w:eastAsia="en-US" w:bidi="ar-SA"/>
              </w:rPr>
              <w:t>Прохлораз, дифеноконазол, pseudomonas и др.</w:t>
            </w:r>
          </w:p>
        </w:tc>
      </w:tr>
    </w:tbl>
    <w:p>
      <w:pPr>
        <w:pStyle w:val="Normal"/>
        <w:ind w:right="283" w:hanging="0"/>
        <w:rPr>
          <w:sz w:val="26"/>
          <w:szCs w:val="26"/>
        </w:rPr>
      </w:pPr>
      <w:r>
        <w:rPr>
          <w:rFonts w:eastAsia="Symbol" w:cs="Symbol" w:ascii="Symbol" w:hAnsi="Symbol"/>
        </w:rPr>
        <w:t></w:t>
      </w:r>
      <w:r>
        <w:rPr>
          <w:rFonts w:eastAsia="Calibri" w:cs="Times New Roman" w:ascii="Times New Roman" w:hAnsi="Times New Roman"/>
        </w:rPr>
        <w:t xml:space="preserve"> </w:t>
      </w:r>
      <w:r>
        <w:rPr>
          <w:rFonts w:eastAsia="Calibri" w:cs="Times New Roman" w:ascii="Times New Roman" w:hAnsi="Times New Roman"/>
        </w:rPr>
        <w:t>Фузариоз и Гельминтоспориоз -основные возбудители корневых гнилей.</w:t>
      </w:r>
    </w:p>
    <w:p>
      <w:pPr>
        <w:pStyle w:val="Normal"/>
        <w:ind w:right="283" w:hanging="0"/>
        <w:rPr>
          <w:sz w:val="26"/>
          <w:szCs w:val="26"/>
        </w:rPr>
      </w:pPr>
      <w:r>
        <w:rPr>
          <w:sz w:val="26"/>
          <w:szCs w:val="26"/>
        </w:rPr>
      </w:r>
    </w:p>
    <w:p>
      <w:pPr>
        <w:pStyle w:val="Normal"/>
        <w:spacing w:lineRule="auto" w:line="240"/>
        <w:ind w:firstLine="709"/>
        <w:jc w:val="both"/>
        <w:rPr>
          <w:rFonts w:ascii="Times New Roman" w:hAnsi="Times New Roman" w:cs="Times New Roman"/>
          <w:sz w:val="26"/>
          <w:szCs w:val="26"/>
        </w:rPr>
      </w:pPr>
      <w:r>
        <w:rPr>
          <w:rFonts w:cs="Times New Roman" w:ascii="Times New Roman" w:hAnsi="Times New Roman"/>
          <w:sz w:val="26"/>
          <w:szCs w:val="26"/>
        </w:rPr>
        <w:t xml:space="preserve">Отдельно стоит отметить пыльную и твердую головню. Пыльная головня относится к внутри семенной инфекции. Возбудитель сохраняется в форме мицелия внутри зерновки в зародыше, заражая ее в период цветения. В течение вегетационного сезона инфекция распространяется </w:t>
      </w:r>
      <w:r>
        <w:rPr>
          <w:rFonts w:cs="Times New Roman" w:ascii="Times New Roman" w:hAnsi="Times New Roman"/>
          <w:sz w:val="26"/>
          <w:szCs w:val="26"/>
          <w:shd w:fill="FFFFFF" w:val="clear"/>
        </w:rPr>
        <w:t>телеоспорами</w:t>
      </w:r>
      <w:r>
        <w:rPr>
          <w:rFonts w:cs="Times New Roman" w:ascii="Times New Roman" w:hAnsi="Times New Roman"/>
          <w:sz w:val="26"/>
          <w:szCs w:val="26"/>
        </w:rPr>
        <w:t xml:space="preserve"> от больных растений к здоровым воздушным путем. В фазу колошения у пшеницы все части колосков - завязи, чешуйки, ости - разрушаются и превращаются в пылящую массу телеоспор. Неразрушенным остается только стержень.</w:t>
      </w:r>
    </w:p>
    <w:p>
      <w:pPr>
        <w:pStyle w:val="Normal"/>
        <w:spacing w:lineRule="auto" w:line="240"/>
        <w:ind w:firstLine="709"/>
        <w:jc w:val="both"/>
        <w:rPr>
          <w:rFonts w:ascii="Times New Roman" w:hAnsi="Times New Roman" w:cs="Times New Roman"/>
          <w:sz w:val="26"/>
          <w:szCs w:val="26"/>
        </w:rPr>
      </w:pPr>
      <w:r>
        <w:rPr>
          <w:rFonts w:cs="Times New Roman" w:ascii="Times New Roman" w:hAnsi="Times New Roman"/>
          <w:sz w:val="26"/>
          <w:szCs w:val="26"/>
        </w:rPr>
        <w:t>Возбудитель пыльной головни развивается в течение двух вегетационных периодов, в первый год происходит заражение в период цветения, на второй год развивается в период колошения. Симптомы поражения твердой головней обнаруживаются только к периоду молочно-восковой спелости зерна. У пораженных колосьев колосковые чешуйки раздвинуты, вместо зерна образуются головневые мешочки (сорусы) с телиоспорами. Головнёвые мешочки можно обнаружить в семенном материале визуально.</w:t>
      </w:r>
    </w:p>
    <w:p>
      <w:pPr>
        <w:pStyle w:val="Normal"/>
        <w:spacing w:lineRule="auto" w:line="240"/>
        <w:ind w:firstLine="709"/>
        <w:jc w:val="both"/>
        <w:rPr>
          <w:rFonts w:ascii="Times New Roman" w:hAnsi="Times New Roman" w:cs="Times New Roman"/>
          <w:sz w:val="26"/>
          <w:szCs w:val="26"/>
        </w:rPr>
      </w:pPr>
      <w:r>
        <w:rPr>
          <w:rFonts w:cs="Times New Roman" w:ascii="Times New Roman" w:hAnsi="Times New Roman"/>
          <w:sz w:val="26"/>
          <w:szCs w:val="26"/>
        </w:rPr>
        <w:t>Для профилактики и борьбы с головневыми заболеваниями следует перед посевом обрабатывать семена протравителями на основе д.в. тебуконазол, тритиконазол, протиоконазол, флутриафол и др. Следует помнить о ретардантном эффекте у препаратов азольного ряда и корректировать глубину заделки семян.</w:t>
      </w:r>
    </w:p>
    <w:p>
      <w:pPr>
        <w:pStyle w:val="Normal"/>
        <w:spacing w:lineRule="auto" w:line="240"/>
        <w:ind w:firstLine="709"/>
        <w:jc w:val="both"/>
        <w:rPr>
          <w:rFonts w:ascii="Times New Roman" w:hAnsi="Times New Roman" w:cs="Times New Roman"/>
          <w:b/>
          <w:b/>
          <w:bCs/>
          <w:sz w:val="26"/>
          <w:szCs w:val="26"/>
        </w:rPr>
      </w:pPr>
      <w:r>
        <w:rPr>
          <w:rFonts w:cs="Times New Roman" w:ascii="Times New Roman" w:hAnsi="Times New Roman"/>
          <w:b/>
          <w:bCs/>
          <w:sz w:val="26"/>
          <w:szCs w:val="26"/>
        </w:rPr>
        <w:t>Обработки проводить разрешенными к применению препаратами на территории РФ в 2024 году, согласно Государственному каталогу пестицидов и агрохимикатов!</w:t>
      </w:r>
    </w:p>
    <w:p>
      <w:pPr>
        <w:pStyle w:val="Normal"/>
        <w:spacing w:lineRule="auto" w:line="240" w:before="0" w:after="200"/>
        <w:ind w:firstLine="709"/>
        <w:jc w:val="both"/>
        <w:rPr>
          <w:rFonts w:ascii="Times New Roman" w:hAnsi="Times New Roman" w:cs="Times New Roman"/>
          <w:sz w:val="26"/>
          <w:szCs w:val="26"/>
        </w:rPr>
      </w:pPr>
      <w:r>
        <w:rPr>
          <w:rFonts w:cs="Times New Roman" w:ascii="Times New Roman" w:hAnsi="Times New Roman"/>
          <w:sz w:val="26"/>
          <w:szCs w:val="26"/>
        </w:rPr>
        <w:t xml:space="preserve">В испытательных лабораториях филиала проводятся исследования партий семян на посевные качества и фитоэкспертизу. По всем интересующим вопросам обращаться в районные отделы филиала или в отдел по семеноводству. </w:t>
      </w:r>
      <w:r>
        <w:rPr>
          <w:rFonts w:cs="Times New Roman" w:ascii="Times New Roman" w:hAnsi="Times New Roman"/>
          <w:b/>
          <w:bCs/>
          <w:sz w:val="26"/>
          <w:szCs w:val="26"/>
        </w:rPr>
        <w:t xml:space="preserve">Тел.: 8(8442) 97-77-21 (д. 702). </w:t>
      </w:r>
      <w:r>
        <w:rPr>
          <w:rFonts w:cs="Times New Roman" w:ascii="Times New Roman" w:hAnsi="Times New Roman"/>
          <w:sz w:val="26"/>
          <w:szCs w:val="26"/>
        </w:rPr>
        <w:t xml:space="preserve">Отдел Защиты растений. </w:t>
      </w:r>
      <w:r>
        <w:rPr>
          <w:rFonts w:cs="Times New Roman" w:ascii="Times New Roman" w:hAnsi="Times New Roman"/>
          <w:b/>
          <w:bCs/>
          <w:sz w:val="26"/>
          <w:szCs w:val="26"/>
        </w:rPr>
        <w:t>Тел.: 8-995-428-20-29.</w:t>
      </w:r>
    </w:p>
    <w:sectPr>
      <w:type w:val="nextPage"/>
      <w:pgSz w:w="11906" w:h="16838"/>
      <w:pgMar w:left="1701" w:right="851" w:gutter="0" w:header="0" w:top="426" w:footer="0"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1f0a"/>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paragraph" w:styleId="Style19">
    <w:name w:val="Title"/>
    <w:basedOn w:val="Normal"/>
    <w:next w:val="Style15"/>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8">
    <w:name w:val="Table Grid"/>
    <w:basedOn w:val="a1"/>
    <w:uiPriority w:val="39"/>
    <w:rsid w:val="00802c1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ti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Application>LibreOffice/7.3.0.3$Windows_X86_64 LibreOffice_project/0f246aa12d0eee4a0f7adcefbf7c878fc2238db3</Application>
  <AppVersion>15.0000</AppVersion>
  <Pages>3</Pages>
  <Words>766</Words>
  <Characters>5513</Characters>
  <CharactersWithSpaces>6228</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2024-03-13T08:17:00Z</dcterms:created>
  <dc:creator>User</dc:creator>
  <dc:description/>
  <dc:language>ru-RU</dc:language>
  <cp:lastModifiedBy/>
  <cp:lastPrinted>2024-03-14T07:40:00Z</cp:lastPrinted>
  <dcterms:modified xsi:type="dcterms:W3CDTF">2024-03-19T10:18:29Z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