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4"/>
          <w:szCs w:val="4"/>
        </w:rPr>
      </w:pPr>
      <w:r>
        <w:rPr>
          <w:rFonts w:ascii="Times New Roman" w:hAnsi="Times New Roman"/>
          <w:b/>
          <w:bCs/>
          <w:sz w:val="4"/>
          <w:szCs w:val="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Более тысячи волгоградских семей направили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материнский капитал на обучение детей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 детей — второе по популярности направление (после улучшения жилищных условий) для реализации средств маткапитала в Волгоградской области. На эти цели в нашем регионе с начала года свои сертификаты направили 1 562 семьи. По </w:t>
      </w:r>
      <w:r>
        <w:rPr>
          <w:rFonts w:ascii="Times New Roman" w:hAnsi="Times New Roman"/>
          <w:sz w:val="28"/>
          <w:szCs w:val="28"/>
        </w:rPr>
        <w:t>данному</w:t>
      </w:r>
      <w:r>
        <w:rPr>
          <w:rFonts w:ascii="Times New Roman" w:hAnsi="Times New Roman"/>
          <w:sz w:val="28"/>
          <w:szCs w:val="28"/>
        </w:rPr>
        <w:t xml:space="preserve"> направлению в 2024 году Отделение СФР по Волгоградской области перечислило 92,4 миллиона рублей.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бу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нка можно заплатить в любых образовательных организациях: детском саду, ссузе, вузе, можно оплатить курсы иностранного языка или услуги автошколы. Также средства сертификата можно потратить на проживание и коммунальные услуги в общежитии, предоставленном на время обучения, направить на содержание, присмотр, уход за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нком.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Распорядиться средствами материнского капитала на детский сад и обучение по дошкольным программам можно сразу после рождения ребёнка, на которого получен сертификат. Направить средства на обучение детей в школе, колледже, техникуме или вузе возможно после того, как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нку, давшему право на получение государственной поддержки, исполнится три года. И в том, и в другом случае использовать средства можно на любого из детей в семье, но на момент начала обучения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нок, образование которого родители хотят оплатить с помощью материнского капитала, должен быть младше 25 лет.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заявление о распоряжении средствами материнского капитала можно в личном кабинете на портале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осуслуг, а также в клиентской службе Отделения Социального фонда России по Волгоградской области или МФЦ. После одобрения региональное Отделение СФР перечисляет средства в течение 5 рабочих дней.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организация или индивидуальный предприниматель (т.е. получатели средств) должны находиться на территории Российской Федерации и иметь действующую лицензию на оказание образовательных услуг.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между учебной организацией и Отделением СФР по Волгоградской области подписано соглашение об информационном взаимодействии, родителям не нужно предоставлять договор об оказании платных образовательных услуг.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sz w:val="28"/>
          <w:szCs w:val="28"/>
        </w:rPr>
        <w:t>По всем возникшим вопросам граждане могут обратиться в контакт-центр по номеру:      8 (800) 100-00-01 (режим работы региональной линии —</w:t>
      </w:r>
      <w:r>
        <w:rPr>
          <w:rStyle w:val="Strong"/>
          <w:rFonts w:ascii="Times New Roman" w:hAnsi="Times New Roman"/>
          <w:b w:val="false"/>
          <w:sz w:val="28"/>
          <w:szCs w:val="28"/>
        </w:rPr>
        <w:t xml:space="preserve"> пн-чт с 8:00 до 17:00 час., пт — с 8:00 до 16:00).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2</Pages>
  <Words>325</Words>
  <Characters>2152</Characters>
  <CharactersWithSpaces>2525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2024-08-27T15:44:48Z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