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eastAsia="Tinos" w:cs="Times New Roman"/>
          <w:b/>
          <w:bCs/>
          <w:sz w:val="26"/>
          <w:szCs w:val="26"/>
        </w:rPr>
      </w:pPr>
      <w:r>
        <w:rPr>
          <w:rFonts w:eastAsia="Tinos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nos" w:cs="Times New Roman" w:ascii="Times New Roman" w:hAnsi="Times New Roman"/>
          <w:b/>
          <w:bCs/>
          <w:sz w:val="28"/>
          <w:szCs w:val="28"/>
        </w:rPr>
        <w:t xml:space="preserve">Причины приостановления учетно-регистрационных действий разъяснили в Волгоградском Росреестре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Управлением Росреестра по Волгоградской области в рамках реализации федерального проекта «Национальная система пространственных данных» ведется постоянная работа по снижению доли решений </w:t>
        <w:br/>
        <w:t>о приостановлении учетно-регистрационных действий.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Сегодня мы рассмотрим причину приостановления учетно-регистрационных действий, которая установлена пунктом 20 части 1 статьи 26   Федерального закона от 13.07.2015 № 218-ФЗ «О государственной регистрации недвижимости» (далее – Закон о недвижимости), а именно осуществление государственного кадастрового учета и (или) государственной регистрации прав приостанавливается по решению государственного регистратора прав в случае, если границы земельного участка, </w:t>
        <w:br/>
        <w:t xml:space="preserve">о государственном кадастровом учете которого и (или) государственной регистрации прав на который представлено заявление, пересекают границы другого земельного участка, сведения о котором содержатся в Едином государственном реестре недвижимости (за исключением случая, если другой земельный участок является преобразуемым объектом недвижимости, а также случаев, предусмотренных </w:t>
      </w:r>
      <w:r>
        <w:fldChar w:fldCharType="begin"/>
      </w:r>
      <w:r>
        <w:rPr>
          <w:sz w:val="28"/>
          <w:szCs w:val="28"/>
          <w:rFonts w:cs="Times New Roman" w:ascii="Times New Roman" w:hAnsi="Times New Roman"/>
        </w:rPr>
        <w:instrText xml:space="preserve"> HYPERLINK "https://www.consultant.ru/document/cons_doc_LAW_500339/f10dc2166d2e834a0086658226e2f96fb5f1cb5f/" \l "dst26"</w:instrText>
      </w:r>
      <w:r>
        <w:rPr>
          <w:sz w:val="28"/>
          <w:szCs w:val="28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8"/>
          <w:szCs w:val="28"/>
        </w:rPr>
        <w:t>пунктом 20.1</w:t>
      </w:r>
      <w:r>
        <w:rPr>
          <w:sz w:val="28"/>
          <w:szCs w:val="28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8"/>
          <w:szCs w:val="28"/>
        </w:rPr>
        <w:t xml:space="preserve">  настоящей части и </w:t>
      </w:r>
      <w:r>
        <w:fldChar w:fldCharType="begin"/>
      </w:r>
      <w:r>
        <w:rPr>
          <w:sz w:val="28"/>
          <w:szCs w:val="28"/>
          <w:rFonts w:cs="Times New Roman" w:ascii="Times New Roman" w:hAnsi="Times New Roman"/>
        </w:rPr>
        <w:instrText xml:space="preserve"> HYPERLINK "https://www.consultant.ru/document/cons_doc_LAW_500339/ba806da29640562d9b9230c79ff7b3e1548e163d/" \l "dst45"</w:instrText>
      </w:r>
      <w:r>
        <w:rPr>
          <w:sz w:val="28"/>
          <w:szCs w:val="28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8"/>
          <w:szCs w:val="28"/>
        </w:rPr>
        <w:t>частями 1</w:t>
      </w:r>
      <w:r>
        <w:rPr>
          <w:sz w:val="28"/>
          <w:szCs w:val="28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fldChar w:fldCharType="begin"/>
      </w:r>
      <w:r>
        <w:rPr>
          <w:sz w:val="28"/>
          <w:szCs w:val="28"/>
          <w:rFonts w:cs="Times New Roman" w:ascii="Times New Roman" w:hAnsi="Times New Roman"/>
        </w:rPr>
        <w:instrText xml:space="preserve"> HYPERLINK "https://www.consultant.ru/document/cons_doc_LAW_500339/ba806da29640562d9b9230c79ff7b3e1548e163d/" \l "dst46"</w:instrText>
      </w:r>
      <w:r>
        <w:rPr>
          <w:sz w:val="28"/>
          <w:szCs w:val="28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8"/>
          <w:szCs w:val="28"/>
        </w:rPr>
        <w:t>2 статьи 60.2</w:t>
      </w:r>
      <w:r>
        <w:rPr>
          <w:sz w:val="28"/>
          <w:szCs w:val="28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8"/>
          <w:szCs w:val="28"/>
        </w:rPr>
        <w:t xml:space="preserve"> настоящего Федерального закона.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Управление обратились граждане с заявлениями о государственном кадастровом учете и государственной регистрации прав в связи </w:t>
        <w:br/>
        <w:t xml:space="preserve">с образованием земельного участка путем выдела из земельного участка сельскохозяйственного назначения.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проведении правовой экспертизы представленных документов выявлено, что границы образуемого земельного участка пересекают границы другого земельного участка, сведения о котором содержатся в Едином государственном реестре недвижимости.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Государственный кадастровый учет и государственная регистрация права собственности приостановлена в соответствии с пунктом 20 части 1 статьи 26 Закона о недвижимости.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уведомлении о приостановлении заявителю разъяснён порядок возобновления государственной регистрации, а также рекомендовано представить межевой план земельного участка с уточненными границами образуемого земельного участка.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Рекомендуем учитывать указанную информацию при подготовке документов для предоставления в орган регистрации прав. 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Application>LibreOffice/7.5.6.2$Linux_X86_64 LibreOffice_project/50$Build-2</Application>
  <AppVersion>15.0000</AppVersion>
  <Pages>2</Pages>
  <Words>269</Words>
  <Characters>2117</Characters>
  <CharactersWithSpaces>2384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2025-11-27T09:12:57Z</cp:lastPrinted>
  <dcterms:modified xsi:type="dcterms:W3CDTF">2025-11-20T11:35:00Z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