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8F4B60" w:rsidRDefault="008F4B60" w:rsidP="008F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</w:t>
      </w:r>
      <w:r w:rsidRPr="00B95F98">
        <w:rPr>
          <w:rFonts w:ascii="Times New Roman" w:hAnsi="Times New Roman" w:cs="Times New Roman"/>
          <w:sz w:val="28"/>
          <w:szCs w:val="28"/>
        </w:rPr>
        <w:t>в учетно-регистрационной сфере за период с 23.05 по 29.05.2022:</w:t>
      </w:r>
    </w:p>
    <w:p w:rsidR="008F4B60" w:rsidRPr="00B95F98" w:rsidRDefault="008F4B60" w:rsidP="008F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B60" w:rsidRDefault="008F4B60" w:rsidP="008F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98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 и (или) государственной регистрации прав – 6 871, из них в электронном виде -   3 388, что составляет 49,3 % от общего количества заявлений;</w:t>
      </w:r>
    </w:p>
    <w:p w:rsidR="008F4B60" w:rsidRPr="00B95F98" w:rsidRDefault="008F4B60" w:rsidP="008F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B60" w:rsidRDefault="008F4B60" w:rsidP="008F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98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- 42, из них в электронном виде - 31, что составляет 73,8 % от общего количества заявлений;</w:t>
      </w:r>
    </w:p>
    <w:p w:rsidR="008F4B60" w:rsidRPr="00B95F98" w:rsidRDefault="008F4B60" w:rsidP="008F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B60" w:rsidRDefault="008F4B60" w:rsidP="008F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98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- 90 (96%);</w:t>
      </w:r>
    </w:p>
    <w:p w:rsidR="008F4B60" w:rsidRPr="00B95F98" w:rsidRDefault="008F4B60" w:rsidP="008F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B60" w:rsidRDefault="008F4B60" w:rsidP="008F4B6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F98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13 земельных участков и 3 гаража.</w:t>
      </w:r>
    </w:p>
    <w:p w:rsidR="008F4B60" w:rsidRDefault="008F4B60" w:rsidP="008F4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D0B" w:rsidRPr="00051309" w:rsidRDefault="00901D0B" w:rsidP="0090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bookmarkStart w:id="0" w:name="_GoBack"/>
      <w:bookmarkEnd w:id="0"/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2022-06-02T06:57:00Z</dcterms:created>
  <dcterms:modified xsi:type="dcterms:W3CDTF">2022-06-02T06:57:00Z</dcterms:modified>
</cp:coreProperties>
</file>