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«Азбука Росреестра»: Волгоградский Росреестр разъясняет правовые понятия в сфере недвижимости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продолжаем нашу постоянную рубрику «Азбука Росреестра», где разбираем правовые понятия и термины в сфере недвижимости, сегодня рассмотрим такое понятие как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Единый государственный реестр недвижимости - (ЕГРН)</w:t>
      </w:r>
      <w:r>
        <w:rPr>
          <w:rFonts w:cs="Times New Roman" w:ascii="Times New Roman" w:hAnsi="Times New Roman"/>
          <w:b/>
          <w:sz w:val="28"/>
          <w:szCs w:val="28"/>
        </w:rPr>
        <w:t>».</w:t>
      </w:r>
    </w:p>
    <w:p>
      <w:pPr>
        <w:pStyle w:val="Style25"/>
        <w:rPr>
          <w:rFonts w:ascii="Times New Roman" w:hAnsi="Times New Roman" w:eastAsia="Calibri" w:cs="Times New Roman"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bCs/>
          <w:kern w:val="0"/>
          <w:sz w:val="28"/>
          <w:szCs w:val="28"/>
          <w:lang w:eastAsia="en-US"/>
        </w:rPr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color w:val="090909"/>
          <w:sz w:val="28"/>
          <w:szCs w:val="28"/>
          <w:shd w:fill="FFFFFF" w:val="clear"/>
          <w:lang w:eastAsia="ru-RU"/>
        </w:rPr>
        <w:t>Федеральный закон от 13.07.2015 № 218-ФЗ «О государственной регистрации недвижимости» (далее – Закон о недвижимости) пункт 2 статьи 7 разъясняет, что же такое ЕГРН.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  <w:shd w:fill="FFFFFF" w:val="clear"/>
          <w:lang w:eastAsia="ru-RU"/>
        </w:rPr>
      </w:pPr>
      <w:r>
        <w:rPr>
          <w:rFonts w:cs="Times New Roman" w:ascii="Times New Roman" w:hAnsi="Times New Roman"/>
          <w:color w:val="292C2F"/>
          <w:sz w:val="28"/>
          <w:szCs w:val="28"/>
          <w:shd w:fill="FFFFFF" w:val="clear"/>
          <w:lang w:eastAsia="ru-RU"/>
        </w:rPr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b/>
          <w:color w:val="090909"/>
          <w:sz w:val="28"/>
          <w:szCs w:val="28"/>
        </w:rPr>
        <w:t xml:space="preserve">Единый государственный </w:t>
      </w:r>
      <w:bookmarkEnd w:id="0"/>
      <w:r>
        <w:rPr>
          <w:rFonts w:cs="Times New Roman" w:ascii="Times New Roman" w:hAnsi="Times New Roman"/>
          <w:b/>
          <w:color w:val="090909"/>
          <w:sz w:val="28"/>
          <w:szCs w:val="28"/>
        </w:rPr>
        <w:t>реестр недвижимости</w:t>
      </w:r>
      <w:r>
        <w:rPr>
          <w:rFonts w:cs="Times New Roman" w:ascii="Times New Roman" w:hAnsi="Times New Roman"/>
          <w:color w:val="090909"/>
          <w:sz w:val="28"/>
          <w:szCs w:val="28"/>
        </w:rPr>
        <w:t xml:space="preserve"> представляет собой свод достоверных систематизированных сведений в текстовой форме и графической форме и состоит из: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  <w:t>1) реестра объектов недвижимости (кадастр недвижимости);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  <w:t>2) реестра прав, ограничений прав и обременений недвижимого имущества (реестр прав на недвижимость);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  <w:t>3) реестра сведений о границах зон с особыми условиями использования территорий, территориальных зон, и других (реестр границ);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  <w:t>4) реестровых дел;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  <w:t>5) кадастровых карт;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  <w:t>6) книг учета документов;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  <w:t>7) перечней координат пунктов геодезической основы в местных системах координат, установленных в отношении кадастровых округов.</w:t>
      </w:r>
    </w:p>
    <w:p>
      <w:pPr>
        <w:pStyle w:val="Textbody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90909"/>
          <w:sz w:val="28"/>
          <w:szCs w:val="28"/>
        </w:rPr>
      </w:pPr>
      <w:r>
        <w:rPr>
          <w:rFonts w:cs="Times New Roman" w:ascii="Times New Roman" w:hAnsi="Times New Roman"/>
          <w:color w:val="090909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Ведение ЕГРН осуществляется путем внесения сведений в ЕГРН, изменения указанных сведений в данном реестре и исключения указанных сведений из данного реестра в порядке, установленном Законом о недвижимости и принятыми в соответствии с ним нормативными правовыми актами Российской Федерации. 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ЕГРН является сводом достоверных систематизированных сведений об учтенном в соответствии Законом о недвижимости недвижимом имуществе, о зарегистрированных правах на такое недвижимое имущество, основаниях их возникновения, правообладателях, а также иных установленных в соответствии с настоящим Федеральным законом сведений.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Государственная регистрация права в ЕГРН является единственным доказательством существования зарегистрированного права. Зарегистрированное в ЕГРН право на недвижимое имущество может быть оспорено только в судебном порядке.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character" w:styleId="Style17" w:customStyle="1">
    <w:name w:val="Strong"/>
    <w:qFormat/>
    <w:rsid w:val="00cb4591"/>
    <w:rPr>
      <w:b/>
      <w:b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5" w:customStyle="1">
    <w:name w:val="Body Text First Indent"/>
    <w:basedOn w:val="Standard"/>
    <w:rsid w:val="00cb4591"/>
    <w:pPr>
      <w:widowControl w:val="false"/>
      <w:ind w:firstLine="709"/>
      <w:jc w:val="both"/>
    </w:pPr>
    <w:rPr>
      <w:rFonts w:ascii="PT Astra Serif" w:hAnsi="PT Astra Serif" w:eastAsia="PT Astra Serif" w:cs="PT Astra Serif"/>
      <w:kern w:val="2"/>
      <w:sz w:val="21"/>
    </w:rPr>
  </w:style>
  <w:style w:type="paragraph" w:styleId="Textbody" w:customStyle="1">
    <w:name w:val="Text body"/>
    <w:basedOn w:val="Standard"/>
    <w:qFormat/>
    <w:rsid w:val="00095343"/>
    <w:pPr>
      <w:spacing w:lineRule="auto" w:line="276" w:before="0" w:after="140"/>
    </w:pPr>
    <w:rPr>
      <w:rFonts w:ascii="Calibri" w:hAnsi="Calibri" w:eastAsia="Calibri" w:cs="Calibri"/>
      <w:kern w:val="2"/>
      <w:sz w:val="22"/>
      <w:szCs w:val="2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LibreOffice/7.5.6.2$Linux_X86_64 LibreOffice_project/50$Build-2</Application>
  <AppVersion>15.0000</AppVersion>
  <Pages>2</Pages>
  <Words>258</Words>
  <Characters>1866</Characters>
  <CharactersWithSpaces>2107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2025-11-12T13:48:00Z</dcterms:created>
  <dc:creator>user</dc:creator>
  <dc:description/>
  <dc:language>ru-RU</dc:language>
  <cp:lastModifiedBy>Заборовская Юлия Анатольевна</cp:lastModifiedBy>
  <cp:lastPrinted>2026-02-09T12:02:20Z</cp:lastPrinted>
  <dcterms:modified xsi:type="dcterms:W3CDTF">2026-02-06T10:21:00Z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