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63BE0" w:rsidRPr="00E63BE0" w:rsidRDefault="008F4B60" w:rsidP="00E63BE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3A4429">
        <w:rPr>
          <w:rFonts w:ascii="Times New Roman" w:hAnsi="Times New Roman" w:cs="Times New Roman"/>
          <w:sz w:val="28"/>
          <w:szCs w:val="28"/>
        </w:rPr>
        <w:t xml:space="preserve">за </w:t>
      </w:r>
      <w:r w:rsidR="007F594A" w:rsidRPr="003A442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236A08" w:rsidRPr="003A4429">
        <w:rPr>
          <w:rFonts w:ascii="Times New Roman" w:hAnsi="Times New Roman" w:cs="Times New Roman"/>
          <w:sz w:val="28"/>
          <w:szCs w:val="28"/>
        </w:rPr>
        <w:t xml:space="preserve">с </w:t>
      </w:r>
      <w:r w:rsidR="00E63BE0" w:rsidRPr="00E63BE0">
        <w:rPr>
          <w:rFonts w:ascii="Times New Roman" w:hAnsi="Times New Roman" w:cs="Times New Roman"/>
          <w:sz w:val="28"/>
          <w:szCs w:val="28"/>
        </w:rPr>
        <w:t>15.08.2022 по 19.08.2022:</w:t>
      </w:r>
    </w:p>
    <w:p w:rsidR="00E63BE0" w:rsidRPr="00E63BE0" w:rsidRDefault="00E63BE0" w:rsidP="00E63BE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BE0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                   и (или) государственной регистрации прав – 6 169, из них в электронном виде – 2 868, что составляет 46,5 % от общего количества заявлений;</w:t>
      </w:r>
    </w:p>
    <w:p w:rsidR="00E63BE0" w:rsidRPr="00E63BE0" w:rsidRDefault="00E63BE0" w:rsidP="00E63BE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BE0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- 85, из них в электронном виде - 71, что составляет 83,5 % от общего количества заявлений;</w:t>
      </w:r>
    </w:p>
    <w:p w:rsidR="00030547" w:rsidRDefault="00E63BE0" w:rsidP="00E63BE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3BE0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11 земельных участков и 8 гаражей.</w:t>
      </w:r>
    </w:p>
    <w:p w:rsidR="00E63BE0" w:rsidRDefault="00E63BE0" w:rsidP="00E63BE0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E63BE0">
        <w:rPr>
          <w:rFonts w:ascii="Times New Roman" w:hAnsi="Times New Roman"/>
          <w:sz w:val="28"/>
          <w:szCs w:val="28"/>
        </w:rPr>
        <w:t xml:space="preserve">При осуществлении государственного земельного надзора на территории Волгоградской области </w:t>
      </w:r>
      <w:proofErr w:type="spellStart"/>
      <w:r w:rsidRPr="00E63BE0">
        <w:rPr>
          <w:rFonts w:ascii="Times New Roman" w:hAnsi="Times New Roman"/>
          <w:sz w:val="28"/>
          <w:szCs w:val="28"/>
        </w:rPr>
        <w:t>госземинспекторами</w:t>
      </w:r>
      <w:proofErr w:type="spellEnd"/>
      <w:r w:rsidRPr="00E63BE0">
        <w:rPr>
          <w:rFonts w:ascii="Times New Roman" w:hAnsi="Times New Roman"/>
          <w:sz w:val="28"/>
          <w:szCs w:val="28"/>
        </w:rPr>
        <w:t xml:space="preserve"> Управления по состоянию на 24.08.2022 в рамках применения мер профилактики правонарушений направлено 155 предостережений о недопустимости нарушения обязательных требований земельного законодательства, что на 236,96% больше, чем за аналогичный период прошлого года (46), также проведено 16 профилактических визитов (АППГ-0).</w:t>
      </w: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3BE0" w:rsidRDefault="00E63BE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2022-08-25T12:43:00Z</dcterms:created>
  <dcterms:modified xsi:type="dcterms:W3CDTF">2022-08-25T12:43:00Z</dcterms:modified>
</cp:coreProperties>
</file>