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C0" w:rsidRDefault="00D43F2A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75672" w:rsidRDefault="00D43F2A" w:rsidP="00375672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Style w:val="ab"/>
          <w:rFonts w:ascii="inherit" w:hAnsi="inherit" w:cs="Helvetica"/>
          <w:b/>
          <w:bCs/>
          <w:i w:val="0"/>
          <w:color w:val="000000"/>
          <w:sz w:val="28"/>
          <w:szCs w:val="28"/>
          <w:bdr w:val="none" w:sz="0" w:space="0" w:color="auto" w:frame="1"/>
        </w:rPr>
      </w:pPr>
      <w:bookmarkStart w:id="0" w:name="_GoBack"/>
      <w:r>
        <w:rPr>
          <w:rStyle w:val="ab"/>
          <w:rFonts w:ascii="inherit" w:hAnsi="inherit" w:cs="Helvetica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Волгоградский Росреестр за 9 месяцев узаконил </w:t>
      </w:r>
      <w:r w:rsidRPr="00D43F2A">
        <w:rPr>
          <w:rStyle w:val="ab"/>
          <w:rFonts w:ascii="inherit" w:hAnsi="inherit" w:cs="Helvetica"/>
          <w:b/>
          <w:bCs/>
          <w:i w:val="0"/>
          <w:color w:val="000000"/>
          <w:sz w:val="28"/>
          <w:szCs w:val="28"/>
          <w:bdr w:val="none" w:sz="0" w:space="0" w:color="auto" w:frame="1"/>
        </w:rPr>
        <w:t>269 гаражей и 611 земельных</w:t>
      </w:r>
      <w:r>
        <w:rPr>
          <w:rStyle w:val="ab"/>
          <w:rFonts w:ascii="inherit" w:hAnsi="inherit" w:cs="Helvetica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 участков</w:t>
      </w:r>
    </w:p>
    <w:bookmarkEnd w:id="0"/>
    <w:p w:rsidR="00D43F2A" w:rsidRPr="00375672" w:rsidRDefault="00D43F2A" w:rsidP="00375672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Style w:val="ab"/>
          <w:rFonts w:ascii="inherit" w:hAnsi="inherit" w:cs="Helvetica"/>
          <w:b/>
          <w:bCs/>
          <w:i w:val="0"/>
          <w:color w:val="000000"/>
          <w:sz w:val="28"/>
          <w:szCs w:val="28"/>
          <w:bdr w:val="none" w:sz="0" w:space="0" w:color="auto" w:frame="1"/>
        </w:rPr>
      </w:pPr>
    </w:p>
    <w:p w:rsid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Helvetica" w:hAnsi="Helvetica" w:cs="Helvetica"/>
          <w:color w:val="2A2A2A"/>
          <w:sz w:val="21"/>
          <w:szCs w:val="21"/>
        </w:rPr>
      </w:pPr>
    </w:p>
    <w:p w:rsidR="00D43F2A" w:rsidRDefault="00D43F2A" w:rsidP="00D43F2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о «гаражной амнистии» </w:t>
      </w:r>
      <w:r w:rsidRPr="00B85F5E">
        <w:rPr>
          <w:rFonts w:ascii="Times New Roman" w:hAnsi="Times New Roman"/>
          <w:sz w:val="28"/>
          <w:szCs w:val="28"/>
        </w:rPr>
        <w:t>устанавливает, что до 1 сентября 2026 года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расположен, в частности, если земельный участок для размещения гаража был предоставлен гражданину или передан ему какой-либо организацией (в том числе с которой этот гражданин состоял в трудовых или иных отношениях), либо иным образом выделен ему, либо право на использование такого земельного участка возникло у гражданина по иным основаниям.</w:t>
      </w:r>
    </w:p>
    <w:p w:rsidR="00D43F2A" w:rsidRDefault="00D43F2A" w:rsidP="00D43F2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2A" w:rsidRDefault="00D43F2A" w:rsidP="00D43F2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9 месяцев 2022 года в рамках реализации Закона о «гаражной амнистии» Управлением Росреестра по Волгоградской области осуществлены учетно-регистрационные действия в отношении 269 гаражей и 611 земельных участков </w:t>
      </w:r>
      <w:r w:rsidRPr="00B31065">
        <w:rPr>
          <w:rFonts w:ascii="Times New Roman" w:hAnsi="Times New Roman"/>
          <w:sz w:val="28"/>
          <w:szCs w:val="28"/>
        </w:rPr>
        <w:t xml:space="preserve">общей площадью </w:t>
      </w:r>
      <w:r>
        <w:rPr>
          <w:rFonts w:ascii="Times New Roman" w:hAnsi="Times New Roman"/>
          <w:sz w:val="28"/>
          <w:szCs w:val="28"/>
        </w:rPr>
        <w:t>17508 кв. м.</w:t>
      </w: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90A3E"/>
    <w:rsid w:val="00B97F8A"/>
    <w:rsid w:val="00BB4585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2022-10-05T07:55:00Z</dcterms:created>
  <dcterms:modified xsi:type="dcterms:W3CDTF">2022-10-05T07:55:00Z</dcterms:modified>
</cp:coreProperties>
</file>