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Ключевые изменения законодательства в сфере недвижимости</w:t>
        <w:br/>
        <w:t xml:space="preserve">и подведение итогов работы за 2025 год стали темами для обсуждения </w:t>
        <w:br/>
        <w:t xml:space="preserve">на брифинге Управления Росреестра по Волгоградской области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площадке регионального информационно-аналитического центра состоялся брифинг Управления Росреестра по Волгоградской области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, на котором были представлены ключевые изменения законодательства в сфере недвижимости, подведены итоги работы за 2025 год и обозначены приоритетные направления развития отрасли. Центральной темой встречи стала цифровая трансформация, повышение качества государственных услуг и формирование единых подходов к регулированию земельных отношений.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Открывая мероприятие, заместитель руководителя Управления </w:t>
        <w:br/>
      </w:r>
      <w:r>
        <w:rPr>
          <w:rFonts w:cs="Times New Roman" w:ascii="Times New Roman" w:hAnsi="Times New Roman"/>
          <w:b/>
          <w:sz w:val="28"/>
          <w:szCs w:val="28"/>
        </w:rPr>
        <w:t>Дмитрий Бабайцев</w:t>
      </w:r>
      <w:r>
        <w:rPr>
          <w:rFonts w:cs="Times New Roman" w:ascii="Times New Roman" w:hAnsi="Times New Roman"/>
          <w:sz w:val="28"/>
          <w:szCs w:val="28"/>
        </w:rPr>
        <w:t xml:space="preserve"> подробно остановился на новеллах законодательства, вступивших в силу в 2026 году. Речь, прежде всего, идет о Федеральном законе № 295-ФЗ, инициированном Росреестром, который комплексно изменяет подход к установлению и изменению видов разрешенного использования земельных участков.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словам </w:t>
      </w:r>
      <w:r>
        <w:rPr>
          <w:rFonts w:cs="Times New Roman" w:ascii="Times New Roman" w:hAnsi="Times New Roman"/>
          <w:b/>
          <w:sz w:val="28"/>
          <w:szCs w:val="28"/>
        </w:rPr>
        <w:t>Дмитрия Бабайцева</w:t>
      </w:r>
      <w:r>
        <w:rPr>
          <w:rFonts w:cs="Times New Roman" w:ascii="Times New Roman" w:hAnsi="Times New Roman"/>
          <w:sz w:val="28"/>
          <w:szCs w:val="28"/>
        </w:rPr>
        <w:t xml:space="preserve">, принятые изменения формируют более прозрачную и предсказуемую правовую среду для граждан и бизнеса. </w:t>
      </w:r>
      <w:r>
        <w:rPr>
          <w:rFonts w:cs="Times New Roman" w:ascii="Times New Roman" w:hAnsi="Times New Roman"/>
          <w:i/>
          <w:sz w:val="28"/>
          <w:szCs w:val="28"/>
        </w:rPr>
        <w:t>«Комплексные изменения позволят сократить количество споров и административных барьеров, сделают процедуры более понятными и будут способствовать вовлечению земельных участков в гражданский оборот»,</w:t>
      </w:r>
      <w:r>
        <w:rPr>
          <w:rFonts w:cs="Times New Roman" w:ascii="Times New Roman" w:hAnsi="Times New Roman"/>
          <w:sz w:val="28"/>
          <w:szCs w:val="28"/>
        </w:rPr>
        <w:t xml:space="preserve"> — подчеркнул он.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 закрепляет исчерпывающий перечень документов, определяющих виды разрешенного использования, вводит четкий порядок их выбора и детализирует процедуры при образовании земельных участков. При этом сохраняется преемственность ранее установленных режимов использования, а правообладатели получают возможность самостоятельно выбирать основные и вспомогательные виды использования без дополнительных согласований.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Среди других значимых нововведений — запуск досудебного механизма обжалования решений о приостановлении регистрации прав, совершенствование процедур перераспределения земельных участков, передача ППК «Роскадастр» полномочий по ведению фонда данных государственной кадастровой оценки, а также продление переходного периода по зонам с особыми условиями использования территорий. </w:t>
      </w:r>
      <w:r>
        <w:rPr>
          <w:rFonts w:cs="Times New Roman" w:ascii="Times New Roman" w:hAnsi="Times New Roman"/>
          <w:i/>
          <w:sz w:val="28"/>
          <w:szCs w:val="28"/>
        </w:rPr>
        <w:t>«Нововведения направлены на повышение эффективности правоприменения и формирование комфортной среды для всех участников рынка недвижимости»,</w:t>
      </w:r>
      <w:r>
        <w:rPr>
          <w:rFonts w:cs="Times New Roman" w:ascii="Times New Roman" w:hAnsi="Times New Roman"/>
          <w:sz w:val="28"/>
          <w:szCs w:val="28"/>
        </w:rPr>
        <w:t xml:space="preserve"> — отметил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Отдельный блок брифинга был посвящен результатам деятельности Управления за 2025 год. Ключевым драйвером развития стала цифровизация услуг. Доля заявлений о кадастровом учете и регистрации прав, поданных в электронном виде, достигла 62,6%, а по ипотечным сделкам — 90%. При этом 98,1% электронных регистраций ипотеки осуществляется в течение одного рабочего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Управлении подчеркивают, что достигнутые показатели превышают целевые значения федеральной программы «Национальная система пространственных данных». </w:t>
      </w:r>
      <w:r>
        <w:rPr>
          <w:rFonts w:cs="Times New Roman" w:ascii="Times New Roman" w:hAnsi="Times New Roman"/>
          <w:i/>
          <w:sz w:val="28"/>
          <w:szCs w:val="28"/>
        </w:rPr>
        <w:t>«Это результат системной работы по переходу на электронное взаимодействие и постоянного диалога с профессиональными участниками рынка»</w:t>
      </w:r>
      <w:r>
        <w:rPr>
          <w:rFonts w:cs="Times New Roman" w:ascii="Times New Roman" w:hAnsi="Times New Roman"/>
          <w:sz w:val="28"/>
          <w:szCs w:val="28"/>
        </w:rPr>
        <w:t xml:space="preserve">, — отметила начальник отдела координации и анализа деятельности в учётно-регистрационной сфере </w:t>
      </w:r>
      <w:r>
        <w:rPr>
          <w:rFonts w:cs="Times New Roman" w:ascii="Times New Roman" w:hAnsi="Times New Roman"/>
          <w:b/>
          <w:sz w:val="28"/>
          <w:szCs w:val="28"/>
        </w:rPr>
        <w:t>Виктория Крахмалева.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Параллельно удалось обеспечить снижение доли приостановлений учетно-регистрационных действий — по всем направлениям показатели оказались ниже установленных пороговых значений. Это свидетельствует о повышении качества правовой экспертизы и эффективности взаимодействия с заявителями.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оказания услуг также остаются на уровне, превышающем нормативные ориентиры: средний срок регистрации прав составил 1,7 рабочего дня, кадастрового учета — 1,6 дня, а в рамках единой процедуры — 3,4 дня. Уровень удовлетворенности граждан услугами Росреестра по итогам года достиг 99,99%.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фокусе обсуждения оказались и вопросы совершенствования контрольно-надзорной деятельности. Как отмечалось в ходе брифинга, действующая практика муниципального земельного контроля в регионах остается неоднородной, что требует унификации подходов. Подготовленный Росреестром законопроект предусматривает формирование единой системы организации контрольных мероприятий, внедрение типовых регламентов и индикаторов риска, а также развитие межведомственного взаимодействия на базе цифровых платформ.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«Речь идет о формировании прозрачной и понятной системы контроля, которая обеспечит единообразие правоприменительной практики и повысит эффективность надзора»</w:t>
      </w:r>
      <w:r>
        <w:rPr>
          <w:rFonts w:cs="Times New Roman" w:ascii="Times New Roman" w:hAnsi="Times New Roman"/>
          <w:sz w:val="28"/>
          <w:szCs w:val="28"/>
        </w:rPr>
        <w:t xml:space="preserve">, — подчеркнул начальник отдела государственного земельного надзора </w:t>
      </w:r>
      <w:r>
        <w:rPr>
          <w:rFonts w:cs="Times New Roman" w:ascii="Times New Roman" w:hAnsi="Times New Roman"/>
          <w:b/>
          <w:sz w:val="28"/>
          <w:szCs w:val="28"/>
        </w:rPr>
        <w:t>Вячеслав Грацкий</w:t>
      </w:r>
      <w:r>
        <w:rPr>
          <w:rFonts w:cs="Times New Roman" w:ascii="Times New Roman" w:hAnsi="Times New Roman"/>
          <w:sz w:val="28"/>
          <w:szCs w:val="28"/>
        </w:rPr>
        <w:t>. Важным элементом станет внесение в ЕГРН сведений о результатах муниципального земельного контроля, что позволит участникам рынка получать полную информацию о правовом статусе земельных участков.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Отдельное внимание было уделено развитию Единой электронной картографической основы (ЕЭКО) — ключевого инфраструктурного элемента национальной системы пространственных данных. ЕЭКО представляет собой систематизированную совокупность пространственных данных о территории Российской Федерации, формируемую в виде цифровых топографических карт и ортофотопланов различных масштабов.</w:t>
      </w:r>
    </w:p>
    <w:p>
      <w:pPr>
        <w:pStyle w:val="Style18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отметила заместитель начальника отдела геодезии и картографии </w:t>
      </w:r>
      <w:r>
        <w:rPr>
          <w:rFonts w:cs="Times New Roman" w:ascii="Times New Roman" w:hAnsi="Times New Roman"/>
          <w:b/>
          <w:sz w:val="28"/>
          <w:szCs w:val="28"/>
        </w:rPr>
        <w:t>Оксана Камышникова</w:t>
      </w:r>
      <w:r>
        <w:rPr>
          <w:rFonts w:cs="Times New Roman" w:ascii="Times New Roman" w:hAnsi="Times New Roman"/>
          <w:sz w:val="28"/>
          <w:szCs w:val="28"/>
        </w:rPr>
        <w:t xml:space="preserve">, система обеспечивает многоуровневое покрытие территории страны — от обзорных карт до высокодетализированных ортофотопланов населенных пунктов. </w:t>
      </w:r>
      <w:r>
        <w:rPr>
          <w:rFonts w:cs="Times New Roman" w:ascii="Times New Roman" w:hAnsi="Times New Roman"/>
          <w:i/>
          <w:sz w:val="28"/>
          <w:szCs w:val="28"/>
        </w:rPr>
        <w:t xml:space="preserve">«Единая электронная картографическая основа является фундаментом для формирования достоверных пространственных данных, необходимых для государственного управления, развития территорий и повседневной жизни граждан. Так,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беспеченность ЕЭКО нашего региона составляет — 89%, обеспеченность </w:t>
      </w:r>
      <w:r>
        <w:rPr>
          <w:rFonts w:cs="Times New Roman" w:ascii="Times New Roman" w:hAnsi="Times New Roman"/>
          <w:sz w:val="28"/>
          <w:szCs w:val="28"/>
        </w:rPr>
        <w:t xml:space="preserve">цифровыми ортофотопланами в масштабе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М:1 2 000 составляет 93,1 %, а в масштабе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М:1 10 000 — 98,1%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, — подчеркнула 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Логичным продолжением темы цифровых пространственных данных стало обсуждение вопросов корректного применения географических наименований. Эксперты отметили, что точность топонимов напрямую влияет на безопасность, навигацию и корректность работы цифровых сервисов.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«Ошибки в географических наименованиях могут приводить к дезориентации и даже к аварийным ситуациям. Поэтому точность, актуальность и единообразие топонимов — это не формальность, а базовое условие безопасности»</w:t>
      </w:r>
      <w:r>
        <w:rPr>
          <w:rFonts w:cs="Times New Roman" w:ascii="Times New Roman" w:hAnsi="Times New Roman"/>
          <w:sz w:val="28"/>
          <w:szCs w:val="28"/>
        </w:rPr>
        <w:t xml:space="preserve">, — отметила заместитель начальника отдела геодезии и картографии </w:t>
      </w:r>
      <w:r>
        <w:rPr>
          <w:rFonts w:cs="Times New Roman" w:ascii="Times New Roman" w:hAnsi="Times New Roman"/>
          <w:b/>
          <w:sz w:val="28"/>
          <w:szCs w:val="28"/>
        </w:rPr>
        <w:t>Оксана Камышникова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Ведомство осуществляет государственный геодезический надзор в данной сфере, ведет системную работу по выявлению и исправлению ошибок, а также обеспечивает ведение Государственного каталога географических названий, открытого для пользователей.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Подводя итоги брифинга, эксперты ведомства отметили, что Управление продолжит курс на повышение качества услуг, цифровизацию </w:t>
        <w:br/>
        <w:t>и развитие клиентоцентричности.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paragraph" w:styleId="Style24" w:customStyle="1">
    <w:name w:val="Body Text First Indent"/>
    <w:basedOn w:val="Normal"/>
    <w:rsid w:val="00472467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paragraph" w:styleId="Textbody" w:customStyle="1">
    <w:name w:val="Text body"/>
    <w:basedOn w:val="Normal"/>
    <w:qFormat/>
    <w:rsid w:val="00472467"/>
    <w:pPr>
      <w:suppressAutoHyphens w:val="true"/>
      <w:spacing w:lineRule="auto" w:line="276" w:before="0" w:after="140"/>
      <w:textAlignment w:val="baseline"/>
    </w:pPr>
    <w:rPr>
      <w:rFonts w:ascii="Calibri" w:hAnsi="Calibri" w:eastAsia="Calibri" w:cs="Calibri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Application>LibreOffice/7.5.6.2$Linux_X86_64 LibreOffice_project/50$Build-2</Application>
  <AppVersion>15.0000</AppVersion>
  <Pages>3</Pages>
  <Words>756</Words>
  <Characters>5953</Characters>
  <CharactersWithSpaces>6707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2026-04-01T09:30:06Z</cp:lastPrinted>
  <dcterms:modified xsi:type="dcterms:W3CDTF">2026-03-30T12:48:00Z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