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минувшую неделю в Волгоградский Росреестр поступило свыше 5,2 тысяч заявлений на осуществление учетно-регистрационных действий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Волгоградцы и жители области всё активнее переходят </w:t>
        <w:br/>
        <w:t xml:space="preserve">на использование электронных сервисов Росреестра.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последнюю неделю в Волгоградский Росреестр поступило </w:t>
      </w:r>
      <w:r>
        <w:rPr>
          <w:rFonts w:cs="Times New Roman" w:ascii="Times New Roman" w:hAnsi="Times New Roman"/>
          <w:b/>
          <w:sz w:val="28"/>
          <w:szCs w:val="28"/>
        </w:rPr>
        <w:t>свыше 5,2 тыс. заявлений на осуществление учетно-регистрационных действий, при этом более 3,2 тысяч заявлений направлены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Цифровизация процессов позволила существенно ускорить процесс регистрации объектов недвижимости и сделать процедуру более удобной для заявителей. Особой популярностью пользуется подача заявлений </w:t>
        <w:br/>
        <w:t>на государственную регистрацию ипотеки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Доля заявлений о государственной регистрации ипотеки по заявлениям, представленным в электронном виде и отработанным в течение одного рабочего </w:t>
      </w:r>
      <w:bookmarkStart w:id="0" w:name="_GoBack"/>
      <w:r>
        <w:rPr>
          <w:rFonts w:cs="Times New Roman" w:ascii="Times New Roman" w:hAnsi="Times New Roman"/>
          <w:sz w:val="28"/>
          <w:szCs w:val="28"/>
        </w:rPr>
        <w:t>дня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составила 95,5%, что отражает высокий уровень автоматизации и оперативности.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«Использование электронных сервисов экономит время и облегчает доступ к государственным услугам для жителей региона»</w:t>
      </w:r>
      <w:r>
        <w:rPr>
          <w:rFonts w:cs="Times New Roman" w:ascii="Times New Roman" w:hAnsi="Times New Roman"/>
          <w:sz w:val="28"/>
          <w:szCs w:val="28"/>
        </w:rPr>
        <w:t xml:space="preserve">, - отметил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LibreOffice/7.5.6.2$Linux_X86_64 LibreOffice_project/50$Build-2</Application>
  <AppVersion>15.0000</AppVersion>
  <Pages>1</Pages>
  <Words>143</Words>
  <Characters>1093</Characters>
  <CharactersWithSpaces>1229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2025-04-10T12:40:00Z</cp:lastPrinted>
  <dcterms:modified xsi:type="dcterms:W3CDTF">2025-07-03T13:12:00Z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