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3F49B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3F49B6" w:rsidRDefault="003F49B6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9B6" w:rsidRDefault="003F49B6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9B6" w:rsidRPr="002E7292" w:rsidRDefault="003F49B6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E7292">
        <w:rPr>
          <w:rFonts w:ascii="Times New Roman" w:hAnsi="Times New Roman" w:cs="Times New Roman"/>
          <w:b/>
          <w:sz w:val="28"/>
          <w:szCs w:val="28"/>
        </w:rPr>
        <w:t>За 10 месяцев 2021 года число поданных экстерриториальны</w:t>
      </w:r>
      <w:r>
        <w:rPr>
          <w:rFonts w:ascii="Times New Roman" w:hAnsi="Times New Roman" w:cs="Times New Roman"/>
          <w:b/>
          <w:sz w:val="28"/>
          <w:szCs w:val="28"/>
        </w:rPr>
        <w:t>х заявлений увеличилось на 75 %</w:t>
      </w:r>
    </w:p>
    <w:bookmarkEnd w:id="0"/>
    <w:p w:rsidR="003F49B6" w:rsidRDefault="003F49B6" w:rsidP="003F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49B6" w:rsidRDefault="003F49B6" w:rsidP="003F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учет независимо от места расположения объекта недвижимости. В случае подачи заявления по экстерриториальному принципу регистрацию проводит орган по месту нахождения объекта недвижимости. Процедура проводится на основании электронных документов, созданных органом регистрации по месту приема документов.</w:t>
      </w:r>
    </w:p>
    <w:p w:rsidR="003F49B6" w:rsidRDefault="003F49B6" w:rsidP="003F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Учетно-регистрационные действия по экстерриториальному принципу проводятся в те же сроки, что и при обычном способе подачи документов для учета и регистрации и составляют пять рабочих дней – для кадастрового учета, семь рабочих дней – для регистрации прав собственности, а для одновременной процедуры кадастрового учета и регистрации прав – всего десять рабочих дней. </w:t>
      </w:r>
    </w:p>
    <w:p w:rsidR="003F49B6" w:rsidRDefault="003F49B6" w:rsidP="003F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581">
        <w:rPr>
          <w:rFonts w:ascii="Times New Roman" w:hAnsi="Times New Roman" w:cs="Times New Roman"/>
          <w:sz w:val="28"/>
          <w:szCs w:val="28"/>
        </w:rPr>
        <w:t>Общее количество заявлений на государственную регистрацию прав, кадастровый учет и в рамках единой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(одновременное осуществление кадастрового учета и регистрации прав)</w:t>
      </w:r>
      <w:r w:rsidRPr="00D94581">
        <w:rPr>
          <w:rFonts w:ascii="Times New Roman" w:hAnsi="Times New Roman" w:cs="Times New Roman"/>
          <w:sz w:val="28"/>
          <w:szCs w:val="28"/>
        </w:rPr>
        <w:t>, поступивших по экстерриториальному принципу по Волгоградской области с января по октябрь 2021 года, составило 3 603 шт. Это на</w:t>
      </w:r>
      <w:r>
        <w:rPr>
          <w:rFonts w:ascii="Times New Roman" w:hAnsi="Times New Roman" w:cs="Times New Roman"/>
          <w:sz w:val="28"/>
          <w:szCs w:val="28"/>
        </w:rPr>
        <w:t xml:space="preserve"> 75 % больше, чем за аналогичный период прошлого года</w:t>
      </w:r>
      <w:r w:rsidRPr="00D94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(2 715 шт.).</w:t>
      </w:r>
    </w:p>
    <w:p w:rsidR="003F49B6" w:rsidRPr="00D94581" w:rsidRDefault="003F49B6" w:rsidP="003F4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Позитивная динамика обусловлена тем, что с февраля 2021 года, благодаря эффективному взаимодействию Росреестра с Минэкономразвития России и администрациями субъектов, экстерриториальный прием документов стал доступен в МФЦ во всех субъектах Российской Федерации.  Заместитель руководителя Управления Росреестра по Волгоградской области </w:t>
      </w:r>
      <w:r w:rsidRPr="002E7292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сегодня подача заявления по экстерриториальному принципу возможна в МФЦ и на сайте Росреестра. Благодаря этому заявитель экономит свои ресурсы – время и денежные средства.</w:t>
      </w: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2D12FF"/>
    <w:rsid w:val="00311DCF"/>
    <w:rsid w:val="00320887"/>
    <w:rsid w:val="003E342C"/>
    <w:rsid w:val="003F49B6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5E4A54"/>
    <w:rsid w:val="006419E4"/>
    <w:rsid w:val="0065504D"/>
    <w:rsid w:val="00666F9F"/>
    <w:rsid w:val="006839A6"/>
    <w:rsid w:val="006839BB"/>
    <w:rsid w:val="006B0D32"/>
    <w:rsid w:val="00726B91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50027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2021-11-26T07:32:00Z</dcterms:created>
  <dcterms:modified xsi:type="dcterms:W3CDTF">2021-11-26T07:32:00Z</dcterms:modified>
</cp:coreProperties>
</file>