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7B74" w:rsidRDefault="009F7B74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В июне б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анк земли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Волгоградской области пополняется новыми участками</w:t>
      </w:r>
    </w:p>
    <w:bookmarkEnd w:id="0"/>
    <w:p w:rsidR="009F7B74" w:rsidRDefault="009F7B74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F7B74" w:rsidRDefault="009F7B74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F7B74" w:rsidRDefault="009F7B74" w:rsidP="009F7B74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июне на территории Волгоградской области выявлен 41 земельный участок, пригодный</w:t>
      </w:r>
      <w:r w:rsidRPr="004D18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 w:rsidRPr="004D18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строительств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8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индивидуальн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Pr="004D18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многоквартирных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мов, общей площадью </w:t>
      </w:r>
      <w:smartTag w:uri="urn:schemas-microsoft-com:office:smarttags" w:element="metricconverter">
        <w:smartTagPr>
          <w:attr w:name="ProductID" w:val="78,1 га"/>
        </w:smartTagPr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78,1 га</w:t>
        </w:r>
      </w:smartTag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В настоящее время</w:t>
      </w:r>
      <w:r w:rsidRPr="00E5370E">
        <w:rPr>
          <w:rFonts w:ascii="Times New Roman" w:hAnsi="Times New Roman"/>
          <w:sz w:val="28"/>
          <w:szCs w:val="28"/>
        </w:rPr>
        <w:t xml:space="preserve"> «Банк земли» Волгоградской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E5370E">
        <w:rPr>
          <w:rFonts w:ascii="Times New Roman" w:hAnsi="Times New Roman"/>
          <w:sz w:val="28"/>
          <w:szCs w:val="28"/>
        </w:rPr>
        <w:t xml:space="preserve">содержит информацию о </w:t>
      </w:r>
      <w:r>
        <w:rPr>
          <w:rFonts w:ascii="Times New Roman" w:hAnsi="Times New Roman"/>
          <w:sz w:val="28"/>
          <w:szCs w:val="28"/>
        </w:rPr>
        <w:t>121</w:t>
      </w:r>
      <w:r w:rsidRPr="00E5370E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ом участке, включая</w:t>
      </w:r>
      <w:r w:rsidRPr="00E5370E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и, общей площадью </w:t>
      </w:r>
      <w:smartTag w:uri="urn:schemas-microsoft-com:office:smarttags" w:element="metricconverter">
        <w:smartTagPr>
          <w:attr w:name="ProductID" w:val="968,1 га"/>
        </w:smartTagPr>
        <w:r>
          <w:rPr>
            <w:rFonts w:ascii="Times New Roman" w:hAnsi="Times New Roman"/>
            <w:sz w:val="28"/>
            <w:szCs w:val="28"/>
          </w:rPr>
          <w:t>968,1 га</w:t>
        </w:r>
      </w:smartTag>
      <w:r w:rsidRPr="00E5370E">
        <w:rPr>
          <w:rFonts w:ascii="Times New Roman" w:hAnsi="Times New Roman"/>
          <w:sz w:val="28"/>
          <w:szCs w:val="28"/>
        </w:rPr>
        <w:t xml:space="preserve">. </w:t>
      </w:r>
    </w:p>
    <w:p w:rsidR="009F7B74" w:rsidRDefault="009F7B74" w:rsidP="009F7B74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Расширен перечень</w:t>
      </w:r>
      <w:r w:rsidRPr="004D18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населенных пунктов, имеющих потенциал развития жилищного строительства. Это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г. Волгоград, г. Фролово, г. Камышин,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г. Урюпинск, г. Котельниково, г. Калач на Дону,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Руднянский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Киквидзенский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Клетский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Городищенский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Николаевский,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Среднеахтубинский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Серафимовический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</w:t>
      </w:r>
      <w:r w:rsidRPr="00EB4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ласовский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Светлоярский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Нехаевский муниципальные районы.</w:t>
      </w:r>
    </w:p>
    <w:p w:rsidR="009F7B74" w:rsidRDefault="009F7B74" w:rsidP="009F7B74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9F7B7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Учитывая текущую социально-экономическую ситуацию, действующий механизм для выявления земельных участков, пригодных для жилищного строительства, является важной основой для развития строительства в нашем регионе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- отметил </w:t>
      </w:r>
      <w:r w:rsidRPr="009F7B7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Иван </w:t>
      </w:r>
      <w:proofErr w:type="spellStart"/>
      <w:r w:rsidRPr="009F7B7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Милованов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заместитель председателя комитета строительства Волгоградской области, член оперативного штаба. 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9F7B74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2022-06-28T07:10:00Z</dcterms:created>
  <dcterms:modified xsi:type="dcterms:W3CDTF">2022-06-28T07:10:00Z</dcterms:modified>
</cp:coreProperties>
</file>