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Style19"/>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r>
    </w:p>
    <w:p>
      <w:pPr>
        <w:pStyle w:val="Style19"/>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Об актуальных причинах приостановления учетно-регистрационных действий рассказали в Волгоградском Росреестре</w:t>
      </w:r>
    </w:p>
    <w:p>
      <w:pPr>
        <w:pStyle w:val="Style19"/>
        <w:spacing w:lineRule="auto" w:line="240" w:before="0" w:after="0"/>
        <w:jc w:val="center"/>
        <w:rPr>
          <w:rFonts w:ascii="Tinos" w:hAnsi="Tinos"/>
          <w:sz w:val="28"/>
          <w:szCs w:val="28"/>
        </w:rPr>
      </w:pPr>
      <w:r>
        <w:rPr>
          <w:rFonts w:ascii="Tinos" w:hAnsi="Tinos"/>
          <w:sz w:val="28"/>
          <w:szCs w:val="28"/>
        </w:rPr>
      </w:r>
    </w:p>
    <w:p>
      <w:pPr>
        <w:pStyle w:val="Style19"/>
        <w:spacing w:lineRule="auto" w:line="240" w:before="0" w:after="0"/>
        <w:ind w:firstLine="709"/>
        <w:jc w:val="both"/>
        <w:rPr>
          <w:rFonts w:ascii="Tinos" w:hAnsi="Tinos"/>
          <w:color w:val="000000"/>
          <w:sz w:val="28"/>
          <w:szCs w:val="28"/>
        </w:rPr>
      </w:pPr>
      <w:r>
        <w:rPr>
          <w:rFonts w:ascii="Tinos" w:hAnsi="Tinos"/>
          <w:sz w:val="28"/>
          <w:szCs w:val="28"/>
        </w:rPr>
        <w:t xml:space="preserve">С 1 февраля 2026 года в России вступили в силу важные изменения </w:t>
        <w:br/>
      </w:r>
      <w:r>
        <w:rPr>
          <w:rFonts w:ascii="Tinos" w:hAnsi="Tinos"/>
          <w:color w:val="000000"/>
          <w:sz w:val="28"/>
          <w:szCs w:val="28"/>
        </w:rPr>
        <w:t>в приказы Росреестра от 14.12.2021 № П/0592 «Об утверждении формы и состава сведений межевого плана, требований к его подготовке», от 15 марта 2022 №</w:t>
      </w:r>
      <w:r>
        <w:rPr>
          <w:rFonts w:ascii="Tinos" w:hAnsi="Tinos"/>
          <w:color w:val="0000FF"/>
          <w:sz w:val="28"/>
          <w:szCs w:val="28"/>
        </w:rPr>
        <w:t xml:space="preserve"> </w:t>
      </w:r>
      <w:r>
        <w:rPr>
          <w:rFonts w:ascii="Tinos" w:hAnsi="Tinos"/>
          <w:color w:val="000000"/>
          <w:sz w:val="28"/>
          <w:szCs w:val="28"/>
        </w:rPr>
        <w:t xml:space="preserve">П/0082 «Об установлении формы технического плана, требований к его подготовке и состава содержащихся в нем сведений». </w:t>
      </w:r>
    </w:p>
    <w:p>
      <w:pPr>
        <w:pStyle w:val="Style19"/>
        <w:spacing w:lineRule="auto" w:line="240" w:before="0" w:after="0"/>
        <w:ind w:firstLine="709"/>
        <w:jc w:val="both"/>
        <w:rPr>
          <w:rFonts w:ascii="Tinos" w:hAnsi="Tinos"/>
          <w:color w:val="000000"/>
          <w:sz w:val="28"/>
          <w:szCs w:val="28"/>
        </w:rPr>
      </w:pPr>
      <w:r>
        <w:rPr>
          <w:rFonts w:ascii="Tinos" w:hAnsi="Tinos"/>
          <w:color w:val="000000"/>
          <w:sz w:val="28"/>
          <w:szCs w:val="28"/>
        </w:rPr>
      </w:r>
    </w:p>
    <w:p>
      <w:pPr>
        <w:pStyle w:val="Style19"/>
        <w:spacing w:lineRule="auto" w:line="240" w:before="0" w:after="0"/>
        <w:ind w:firstLine="709"/>
        <w:jc w:val="both"/>
        <w:rPr>
          <w:rFonts w:ascii="Tinos" w:hAnsi="Tinos"/>
          <w:b/>
          <w:color w:val="000000"/>
          <w:sz w:val="28"/>
          <w:szCs w:val="28"/>
        </w:rPr>
      </w:pPr>
      <w:r>
        <w:rPr>
          <w:rFonts w:ascii="Tinos" w:hAnsi="Tinos"/>
          <w:color w:val="000000"/>
          <w:sz w:val="28"/>
          <w:szCs w:val="28"/>
        </w:rPr>
        <w:t xml:space="preserve">В документах, подготовленных кадастровым инженером для подачи в Росреестр (межевой или технический план, карта-план территории), </w:t>
      </w:r>
      <w:r>
        <w:rPr>
          <w:rFonts w:ascii="Tinos" w:hAnsi="Tinos"/>
          <w:b/>
          <w:color w:val="000000"/>
          <w:sz w:val="28"/>
          <w:szCs w:val="28"/>
        </w:rPr>
        <w:t>должна быть указана информация об адресе объекта в виде его уникального идентификатора.  Вместо длинного текстового адреса в документах будет указываться его цифровой код - уникальный идентификатор адреса, который присваивается каждому дому, участку или зданию в Государственном адресном реестре (ГАР).</w:t>
      </w:r>
    </w:p>
    <w:p>
      <w:pPr>
        <w:pStyle w:val="Style19"/>
        <w:spacing w:lineRule="auto" w:line="240" w:before="0" w:after="0"/>
        <w:ind w:firstLine="709"/>
        <w:jc w:val="both"/>
        <w:rPr>
          <w:rFonts w:ascii="Tinos" w:hAnsi="Tinos"/>
          <w:b/>
          <w:color w:val="000000"/>
          <w:sz w:val="28"/>
          <w:szCs w:val="28"/>
        </w:rPr>
      </w:pPr>
      <w:r>
        <w:rPr>
          <w:rFonts w:ascii="Tinos" w:hAnsi="Tinos"/>
          <w:b/>
          <w:color w:val="000000"/>
          <w:sz w:val="28"/>
          <w:szCs w:val="28"/>
        </w:rPr>
      </w:r>
    </w:p>
    <w:p>
      <w:pPr>
        <w:pStyle w:val="Normal"/>
        <w:spacing w:lineRule="auto" w:line="240" w:before="0" w:after="0"/>
        <w:ind w:firstLine="709"/>
        <w:jc w:val="both"/>
        <w:rPr>
          <w:rFonts w:ascii="Tinos" w:hAnsi="Tinos"/>
          <w:b/>
          <w:color w:val="000000"/>
          <w:sz w:val="28"/>
          <w:szCs w:val="28"/>
        </w:rPr>
      </w:pPr>
      <w:r>
        <w:rPr>
          <w:rFonts w:ascii="Tinos" w:hAnsi="Tinos"/>
          <w:color w:val="000000"/>
          <w:sz w:val="28"/>
          <w:szCs w:val="28"/>
        </w:rPr>
        <w:t xml:space="preserve">После вступления в силу указанных выше изменений одним из новых случаев приостановления государственного кадастрового учета и государственной регистрации прав является основание, предусмотренное пунктом 7 части 1 статьи 26 Федерального закона от 13.07.2015 № 218-ФЗ «О государственной регистрации недвижимости», </w:t>
      </w:r>
      <w:r>
        <w:rPr>
          <w:rFonts w:ascii="Tinos" w:hAnsi="Tinos"/>
          <w:b/>
          <w:color w:val="000000"/>
          <w:sz w:val="28"/>
          <w:szCs w:val="28"/>
        </w:rPr>
        <w:t xml:space="preserve">а именно не представлен документ, подтверждающий присвоение адресов образованным земельным участкам, который включается в состав межевого плана, подготовленного согласно Требованиям. </w:t>
      </w:r>
    </w:p>
    <w:p>
      <w:pPr>
        <w:pStyle w:val="Normal"/>
        <w:spacing w:lineRule="auto" w:line="240" w:before="0" w:after="0"/>
        <w:ind w:firstLine="709"/>
        <w:jc w:val="both"/>
        <w:rPr>
          <w:rFonts w:ascii="Tinos" w:hAnsi="Tinos"/>
          <w:b/>
          <w:color w:val="000000"/>
          <w:sz w:val="28"/>
          <w:szCs w:val="28"/>
        </w:rPr>
      </w:pPr>
      <w:r>
        <w:rPr>
          <w:rFonts w:ascii="Tinos" w:hAnsi="Tinos"/>
          <w:b/>
          <w:color w:val="000000"/>
          <w:sz w:val="28"/>
          <w:szCs w:val="28"/>
        </w:rPr>
      </w:r>
    </w:p>
    <w:p>
      <w:pPr>
        <w:pStyle w:val="Normal"/>
        <w:spacing w:lineRule="auto" w:line="240" w:before="0" w:after="0"/>
        <w:ind w:firstLine="709"/>
        <w:jc w:val="both"/>
        <w:rPr>
          <w:rFonts w:ascii="Tinos" w:hAnsi="Tinos"/>
          <w:b/>
          <w:color w:val="000000"/>
          <w:sz w:val="28"/>
          <w:szCs w:val="28"/>
        </w:rPr>
      </w:pPr>
      <w:r>
        <w:rPr>
          <w:rFonts w:ascii="Tinos" w:hAnsi="Tinos"/>
          <w:color w:val="000000"/>
          <w:sz w:val="28"/>
          <w:szCs w:val="28"/>
        </w:rPr>
        <w:t xml:space="preserve">Так, например, в Управление обратился гражданин с заявлением о государственном кадастровом учете и государственной регистрации права собственности на земельные участки, образованные в результате раздела. При этом, заявителем </w:t>
      </w:r>
      <w:r>
        <w:rPr>
          <w:rFonts w:ascii="Tinos" w:hAnsi="Tinos"/>
          <w:b/>
          <w:color w:val="000000"/>
          <w:sz w:val="28"/>
          <w:szCs w:val="28"/>
        </w:rPr>
        <w:t>представлен межевой план, в составе которого отсутствует документ, подтверждающий присвоение адресов образованным земельным участкам.</w:t>
      </w:r>
    </w:p>
    <w:p>
      <w:pPr>
        <w:pStyle w:val="Normal"/>
        <w:spacing w:lineRule="auto" w:line="240" w:before="0" w:after="0"/>
        <w:ind w:firstLine="709"/>
        <w:jc w:val="both"/>
        <w:rPr>
          <w:rFonts w:ascii="Tinos" w:hAnsi="Tinos"/>
          <w:b/>
          <w:color w:val="000000"/>
          <w:sz w:val="28"/>
          <w:szCs w:val="28"/>
        </w:rPr>
      </w:pPr>
      <w:r>
        <w:rPr>
          <w:rFonts w:ascii="Tinos" w:hAnsi="Tinos"/>
          <w:b/>
          <w:color w:val="000000"/>
          <w:sz w:val="28"/>
          <w:szCs w:val="28"/>
        </w:rPr>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t xml:space="preserve">Согласно пункту 50 Требований если у дома или участка уже есть официальный адрес, кадастровому инженеру достаточно будет просто внести его уникальный идентификатор в подготавливаемые документы.  В разделе «Сведения об образуемых земельных участках» указывается уникальный номер адреса объекта адресации в государственном адресном реестре, присвоенный в соответствии с порядком ведения государственного адресного реестра, утвержденным на основании пункта 3 части 2 статьи 5 Федерального закона от 28 декабря 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Уникальный идентификатор адреса указывается в межевом плане на основании сведений об адресе, размещенных в государственном адресном реестре и предоставленных в соответствии со статьей 8 Федерального закона № 443-ФЗ. </w:t>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t xml:space="preserve"> </w:t>
      </w:r>
      <w:r>
        <w:rPr>
          <w:rFonts w:ascii="Tinos" w:hAnsi="Tinos"/>
          <w:color w:val="000000"/>
          <w:sz w:val="28"/>
          <w:szCs w:val="28"/>
        </w:rPr>
        <w:t>Если адреса еще нет, то кадастровый инженер может сам инициировать его присвоение. В случае отсутствия в государственном адресном реестре адреса земельного участка, в разделе «Сведения об образуемых земельных участках» допускается указание адреса земельного участка на основании акта органа государственной власти или органа местного самоуправления, уполномоченных на присвоение адресов объектам недвижимости. Копия документа, подтверждающего присвоение адреса, в данном случае включается в Приложение, сведения о данном документе указываются в разделе «Исходные данные».</w:t>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t>При отсутствии в государственном адресном реестре адреса земельного участка и отсутствии акта органа</w:t>
      </w:r>
      <w:bookmarkStart w:id="0" w:name="_GoBack"/>
      <w:bookmarkEnd w:id="0"/>
      <w:r>
        <w:rPr>
          <w:rFonts w:ascii="Tinos" w:hAnsi="Tinos"/>
          <w:color w:val="000000"/>
          <w:sz w:val="28"/>
          <w:szCs w:val="28"/>
        </w:rPr>
        <w:t xml:space="preserve"> государственной власти или органа местного самоуправления, уполномоченных на присвоение адресов объектам недвижимости, в разделе «Сведения об образуемых земельных участках» указывается уникальный идентификатор адреса, присвоенный уполномоченным органом на основании обращения кадастрового инженера.</w:t>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t>Осуществление государственного кадастрового учета и государственной регистрации права собственности приостановлено. Заявителю разъяснён порядок возобновления государственной регистрации, рекомендовано представить межевой план, в состав которого будет включен документ, подтверждающий присвоение адресов образованным земельным участкам.</w:t>
      </w:r>
    </w:p>
    <w:p>
      <w:pPr>
        <w:pStyle w:val="Normal"/>
        <w:spacing w:lineRule="auto" w:line="240" w:before="0" w:after="0"/>
        <w:ind w:right="-1" w:firstLine="709"/>
        <w:jc w:val="both"/>
        <w:rPr>
          <w:rFonts w:ascii="Tinos" w:hAnsi="Tinos"/>
          <w:color w:val="000000"/>
          <w:sz w:val="28"/>
          <w:szCs w:val="28"/>
        </w:rPr>
      </w:pPr>
      <w:r>
        <w:rPr>
          <w:rFonts w:ascii="Tinos" w:hAnsi="Tinos"/>
          <w:color w:val="000000"/>
          <w:sz w:val="28"/>
          <w:szCs w:val="28"/>
        </w:rPr>
      </w:r>
    </w:p>
    <w:p>
      <w:pPr>
        <w:pStyle w:val="Normal"/>
        <w:spacing w:lineRule="auto" w:line="240" w:before="0" w:after="0"/>
        <w:ind w:firstLine="709"/>
        <w:jc w:val="both"/>
        <w:rPr>
          <w:rFonts w:ascii="Tinos" w:hAnsi="Tinos"/>
          <w:color w:val="000000"/>
          <w:sz w:val="28"/>
          <w:szCs w:val="28"/>
        </w:rPr>
      </w:pPr>
      <w:r>
        <w:rPr>
          <w:rFonts w:ascii="Tinos" w:hAnsi="Tinos"/>
          <w:color w:val="000000"/>
          <w:sz w:val="28"/>
          <w:szCs w:val="28"/>
        </w:rPr>
        <w:t xml:space="preserve">Рекомендуем учитывать указанную информацию при подготовке документов для предоставления в орган регистрации прав. </w:t>
      </w:r>
    </w:p>
    <w:p>
      <w:pPr>
        <w:pStyle w:val="Normal"/>
        <w:spacing w:lineRule="auto" w:line="240" w:before="720" w:after="0"/>
        <w:jc w:val="both"/>
        <w:rPr>
          <w:rFonts w:ascii="Tinos" w:hAnsi="Tinos"/>
          <w:color w:val="000000"/>
          <w:sz w:val="28"/>
          <w:szCs w:val="28"/>
        </w:rPr>
      </w:pPr>
      <w:r>
        <w:rPr>
          <w:rFonts w:ascii="Tinos" w:hAnsi="Tinos"/>
          <w:color w:val="000000"/>
          <w:sz w:val="28"/>
          <w:szCs w:val="28"/>
        </w:rPr>
        <w:t>С уважением,</w:t>
      </w:r>
    </w:p>
    <w:p>
      <w:pPr>
        <w:pStyle w:val="Normal"/>
        <w:tabs>
          <w:tab w:val="clear" w:pos="708"/>
          <w:tab w:val="left" w:pos="8605" w:leader="none"/>
        </w:tabs>
        <w:spacing w:lineRule="auto" w:line="240" w:before="0" w:after="0"/>
        <w:jc w:val="both"/>
        <w:rPr>
          <w:rFonts w:ascii="Tinos" w:hAnsi="Tinos"/>
          <w:color w:val="000000"/>
          <w:sz w:val="28"/>
          <w:szCs w:val="28"/>
        </w:rPr>
      </w:pPr>
      <w:r>
        <w:rPr>
          <w:rFonts w:ascii="Tinos" w:hAnsi="Tinos"/>
          <w:color w:val="000000"/>
          <w:sz w:val="28"/>
          <w:szCs w:val="28"/>
        </w:rPr>
        <w:t>Заборовская Юлия Анатольевна,</w:t>
      </w:r>
    </w:p>
    <w:p>
      <w:pPr>
        <w:pStyle w:val="Normal"/>
        <w:tabs>
          <w:tab w:val="clear" w:pos="708"/>
          <w:tab w:val="left" w:pos="8605" w:leader="none"/>
        </w:tabs>
        <w:spacing w:lineRule="auto" w:line="240" w:before="0" w:after="0"/>
        <w:jc w:val="both"/>
        <w:rPr>
          <w:rFonts w:ascii="Tinos" w:hAnsi="Tinos"/>
          <w:color w:val="000000"/>
          <w:sz w:val="28"/>
          <w:szCs w:val="28"/>
        </w:rPr>
      </w:pPr>
      <w:r>
        <w:rPr>
          <w:rFonts w:ascii="Tinos" w:hAnsi="Tinos"/>
          <w:color w:val="000000"/>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nos" w:hAnsi="Tinos"/>
          <w:color w:val="000000"/>
          <w:sz w:val="28"/>
          <w:szCs w:val="28"/>
        </w:rPr>
      </w:pPr>
      <w:r>
        <w:rPr>
          <w:rFonts w:ascii="Tinos" w:hAnsi="Tinos"/>
          <w:color w:val="000000"/>
          <w:sz w:val="28"/>
          <w:szCs w:val="28"/>
        </w:rPr>
        <w:t>по Волгоградской области</w:t>
      </w:r>
    </w:p>
    <w:p>
      <w:pPr>
        <w:pStyle w:val="Normal"/>
        <w:tabs>
          <w:tab w:val="clear" w:pos="708"/>
          <w:tab w:val="left" w:pos="8605" w:leader="none"/>
        </w:tabs>
        <w:spacing w:lineRule="auto" w:line="240" w:before="0" w:after="0"/>
        <w:jc w:val="both"/>
        <w:rPr>
          <w:rFonts w:ascii="Tinos" w:hAnsi="Tinos"/>
          <w:color w:val="000000"/>
          <w:sz w:val="28"/>
          <w:szCs w:val="28"/>
        </w:rPr>
      </w:pPr>
      <w:r>
        <w:rPr>
          <w:rFonts w:ascii="Tinos" w:hAnsi="Tinos"/>
          <w:color w:val="000000"/>
          <w:sz w:val="28"/>
          <w:szCs w:val="28"/>
        </w:rPr>
        <w:t>Mob: +7(937) 531-22-98</w:t>
      </w:r>
    </w:p>
    <w:p>
      <w:pPr>
        <w:pStyle w:val="Normal"/>
        <w:spacing w:lineRule="auto" w:line="240" w:before="0" w:after="0"/>
        <w:jc w:val="both"/>
        <w:rPr>
          <w:rFonts w:ascii="Tinos" w:hAnsi="Tinos"/>
          <w:color w:val="000000"/>
          <w:sz w:val="28"/>
          <w:szCs w:val="28"/>
        </w:rPr>
      </w:pPr>
      <w:r>
        <w:rPr>
          <w:rFonts w:ascii="Tinos" w:hAnsi="Tinos"/>
          <w:color w:val="000000"/>
          <w:sz w:val="28"/>
          <w:szCs w:val="28"/>
        </w:rPr>
        <w:t xml:space="preserve">E-mail: </w:t>
      </w:r>
      <w:hyperlink r:id="rId3">
        <w:r>
          <w:rPr>
            <w:rFonts w:ascii="Tinos" w:hAnsi="Tinos"/>
            <w:color w:val="000000"/>
            <w:sz w:val="28"/>
            <w:szCs w:val="28"/>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link w:val="Textbody"/>
    <w:uiPriority w:val="99"/>
    <w:semiHidden/>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2d6fbb"/>
    <w:rPr>
      <w:color w:val="954F72" w:themeColor="followedHyperlink"/>
      <w:u w:val="single"/>
    </w:rPr>
  </w:style>
  <w:style w:type="character" w:styleId="Style17" w:customStyle="1">
    <w:name w:val="Красная строка Знак"/>
    <w:basedOn w:val="Style15"/>
    <w:link w:val="BodyTextIndent"/>
    <w:uiPriority w:val="99"/>
    <w:semiHidden/>
    <w:qFormat/>
    <w:rsid w:val="004f4bcf"/>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link w:val="Style15"/>
    <w:uiPriority w:val="99"/>
    <w:semiHidden/>
    <w:unhideWhenUsed/>
    <w:rsid w:val="006031dc"/>
    <w:pPr>
      <w:spacing w:before="0" w:after="12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3"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4">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paragraph" w:styleId="12" w:customStyle="1">
    <w:name w:val="Обычный (веб)1"/>
    <w:qFormat/>
    <w:rsid w:val="008a699f"/>
    <w:pPr>
      <w:widowControl/>
      <w:pBdr/>
      <w:bidi w:val="0"/>
      <w:spacing w:lineRule="auto" w:line="240" w:before="200" w:after="200"/>
      <w:jc w:val="left"/>
    </w:pPr>
    <w:rPr>
      <w:rFonts w:ascii="Times New Roman" w:hAnsi="Times New Roman" w:eastAsia="Times New Roman" w:cs="Times New Roman"/>
      <w:color w:val="000000"/>
      <w:kern w:val="0"/>
      <w:sz w:val="24"/>
      <w:szCs w:val="20"/>
      <w:lang w:eastAsia="ru-RU" w:val="ru-RU" w:bidi="ar-SA"/>
    </w:rPr>
  </w:style>
  <w:style w:type="paragraph" w:styleId="Textbody" w:customStyle="1">
    <w:name w:val="Text body"/>
    <w:basedOn w:val="Standard"/>
    <w:qFormat/>
    <w:rsid w:val="00d30d4f"/>
    <w:pPr>
      <w:widowControl w:val="false"/>
      <w:jc w:val="both"/>
    </w:pPr>
    <w:rPr>
      <w:rFonts w:ascii="PT Astra Serif" w:hAnsi="PT Astra Serif" w:eastAsia="PT Astra Serif" w:cs="PT Astra Serif"/>
      <w:kern w:val="2"/>
      <w:sz w:val="28"/>
    </w:rPr>
  </w:style>
  <w:style w:type="paragraph" w:styleId="BodyTextIndent">
    <w:name w:val="Body Text Indent"/>
    <w:basedOn w:val="Style19"/>
    <w:link w:val="Style17"/>
    <w:uiPriority w:val="99"/>
    <w:semiHidden/>
    <w:unhideWhenUsed/>
    <w:qFormat/>
    <w:rsid w:val="004f4bcf"/>
    <w:pPr>
      <w:spacing w:before="0" w:after="160"/>
      <w:ind w:firstLine="36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2182</TotalTime>
  <Application>LibreOffice/7.5.6.2$Linux_X86_64 LibreOffice_project/50$Build-2</Application>
  <AppVersion>15.0000</AppVersion>
  <Pages>2</Pages>
  <Words>507</Words>
  <Characters>3708</Characters>
  <CharactersWithSpaces>4208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2026-04-02T09:23:41Z</cp:lastPrinted>
  <dcterms:modified xsi:type="dcterms:W3CDTF">2026-04-01T09:32:00Z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file>