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widowControl w:val="false"/>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color w:val="000000"/>
          <w:sz w:val="28"/>
          <w:szCs w:val="28"/>
          <w:shd w:fill="FFFFFF" w:val="clear"/>
        </w:rPr>
      </w:pPr>
      <w:r>
        <w:rPr>
          <w:rFonts w:cs="Times New Roman" w:ascii="Times New Roman" w:hAnsi="Times New Roman"/>
          <w:b/>
          <w:color w:val="000000"/>
          <w:sz w:val="28"/>
          <w:szCs w:val="28"/>
          <w:shd w:fill="FFFFFF" w:val="clear"/>
        </w:rPr>
        <w:t>По результатам проведения комплексных кадастровых работ</w:t>
        <w:br/>
        <w:t xml:space="preserve">ЕГРН пополнился сведениями </w:t>
      </w:r>
      <w:r>
        <w:rPr>
          <w:rFonts w:cs="Times New Roman" w:ascii="Times New Roman" w:hAnsi="Times New Roman"/>
          <w:b/>
          <w:sz w:val="28"/>
          <w:szCs w:val="28"/>
        </w:rPr>
        <w:t>о 19,5 тысячах объектах недвижимости</w:t>
      </w:r>
      <w:r>
        <w:rPr>
          <w:rFonts w:cs="Times New Roman" w:ascii="Times New Roman" w:hAnsi="Times New Roman"/>
          <w:b/>
          <w:color w:val="000000"/>
          <w:sz w:val="28"/>
          <w:szCs w:val="28"/>
          <w:shd w:fill="FFFFFF" w:val="clear"/>
        </w:rPr>
        <w:t>, сообщили в Волгоградском Росреестре</w:t>
        <w:b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текущем году в Волгоградской области продолжаются мероприятия по проведению комплексных кадастровых работ (ККР) в 20 муниципальных образованиях в границах 138 кадастровых кварталов в отношении более 50 тыс. объектов недвижимости.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Основной задачей проведения</w:t>
      </w:r>
      <w:r>
        <w:rPr>
          <w:rFonts w:cs="Times New Roman" w:ascii="Times New Roman" w:hAnsi="Times New Roman"/>
          <w:sz w:val="28"/>
          <w:szCs w:val="28"/>
        </w:rPr>
        <w:t xml:space="preserve"> комплексных кадастровых раб</w:t>
      </w:r>
      <w:bookmarkStart w:id="0" w:name="_GoBack"/>
      <w:bookmarkEnd w:id="0"/>
      <w:r>
        <w:rPr>
          <w:rFonts w:cs="Times New Roman" w:ascii="Times New Roman" w:hAnsi="Times New Roman"/>
          <w:sz w:val="28"/>
          <w:szCs w:val="28"/>
        </w:rPr>
        <w:t>от</w:t>
      </w:r>
      <w:r>
        <w:rPr>
          <w:rFonts w:eastAsia="Times New Roman" w:cs="Times New Roman" w:ascii="Times New Roman" w:hAnsi="Times New Roman"/>
          <w:sz w:val="28"/>
          <w:szCs w:val="28"/>
        </w:rPr>
        <w:t xml:space="preserve"> является наполнение ЕГРН достоверными и точными сведениями о характеристиках объектов недвижимости, расположенных в кадастровых кварталах.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sz w:val="28"/>
          <w:szCs w:val="28"/>
        </w:rPr>
        <w:t xml:space="preserve">В настоящее время работы завершены в границах 92 кадастровых кварталов, по результатам </w:t>
      </w:r>
      <w:r>
        <w:rPr>
          <w:rFonts w:cs="Times New Roman" w:ascii="Times New Roman" w:hAnsi="Times New Roman"/>
          <w:b/>
          <w:sz w:val="28"/>
          <w:szCs w:val="28"/>
        </w:rPr>
        <w:t>ЕГРН наполнился сведениями о 19,5 тысячах объектах недвижимости.</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Вся информация о кадастровых кварталах, в границах которых выполнялись и выполняются ККР, размещена на официальном сайте Управления в разделе Открытая служба – Статистика и аналитика</w:t>
        <w:br/>
        <w:t>– Комплексные кадастровые работы за счет средств регионального бюджета – Извещения о начале проведения комплексных кадастровых работ;</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Комплексные кадастровые работы – Извещения о начале проведения комплексных кадастровых работ.</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Также информацию о проведении работ можно посмотреть </w:t>
        <w:br/>
        <w:t xml:space="preserve">на официальных сайтах муниципальных образований на территории которых проводятся ККР (г.о.г Волгоград, г.о.г. Камышин, г.о.г. Михайловка,г.о.г. Урюпинск, г.о.г. Фролово,Алексеевский, Дубовский Жирновский, Ленинский, Новоаннинский, Октябрьский, Старополтавский, Серафимовичский, Среднеахтубинский, Суровикинский, Палласовский, Руднянский, Урюпинский, Фроловский муниципальные районы Волгоградской области). </w:t>
      </w:r>
    </w:p>
    <w:p>
      <w:pPr>
        <w:pStyle w:val="Normal"/>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character" w:styleId="Style16">
    <w:name w:val="FollowedHyperlink"/>
    <w:basedOn w:val="DefaultParagraphFont"/>
    <w:uiPriority w:val="99"/>
    <w:semiHidden/>
    <w:unhideWhenUsed/>
    <w:rsid w:val="00631d53"/>
    <w:rPr>
      <w:color w:val="954F72" w:themeColor="followed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5"/>
    <w:uiPriority w:val="99"/>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Application>LibreOffice/7.5.6.2$Linux_X86_64 LibreOffice_project/50$Build-2</Application>
  <AppVersion>15.0000</AppVersion>
  <Pages>1</Pages>
  <Words>197</Words>
  <Characters>1568</Characters>
  <CharactersWithSpaces>1761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2025-11-19T09:16:23Z</cp:lastPrinted>
  <dcterms:modified xsi:type="dcterms:W3CDTF">2025-11-18T08:45:00Z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file>