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Управлении Росреестра по Волгоградской области разъяснили, кто такой финансовый управляющий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Обязательным участником в процедуре признания гражданина банкротом является </w:t>
      </w:r>
      <w:r>
        <w:rPr>
          <w:rFonts w:cs="Times New Roman" w:ascii="Times New Roman" w:hAnsi="Times New Roman"/>
          <w:b/>
          <w:sz w:val="28"/>
          <w:szCs w:val="28"/>
        </w:rPr>
        <w:t xml:space="preserve">финансовый управляющий. </w:t>
      </w:r>
      <w:r>
        <w:rPr>
          <w:rFonts w:cs="Times New Roman" w:ascii="Times New Roman" w:hAnsi="Times New Roman"/>
          <w:sz w:val="28"/>
          <w:szCs w:val="28"/>
        </w:rPr>
        <w:t xml:space="preserve">Он утверждается арбитражным судом и является действующим членом саморегулируемой организации арбитражных управляющих.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Должник вправе выбрать любую саморегулируемую организацию из занесённых в Единый федеральный реестр и указать ее в своем заявлении о признании банкротом. С перечнем саморегулируемых организаций можно ознакомится в Федресурсе (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https://fedresurs.ru/</w:t>
        </w:r>
      </w:hyperlink>
      <w:r>
        <w:rPr>
          <w:rFonts w:cs="Times New Roman" w:ascii="Times New Roman" w:hAnsi="Times New Roman"/>
          <w:sz w:val="28"/>
          <w:szCs w:val="28"/>
        </w:rPr>
        <w:t>) выбрав вкладку СРО арбитражных управляющих.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весь период процедуры банкротства все имущественные права гражданина переходят к финансовому управляющему.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За исполнение обязанностей финансовому управляющему выплачивается вознаграждение. Размер вознаграждения финансового управляющего состоит из фиксированной платы и процентов, зависящих от итоговой стоимости реализованного имущества должника.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Фиксированная часть составляет 25 000 рублей, которая вносится должником на депозитный счёт арбитражного суда для последующего перечисления на счет финансового управляющего. 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реализации имущества гражданина-банкрота дополнительное вознаграждение финансового управляющего составляет 7% от стоимости реализованного имущества.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Средства выплачиваются финансовому управляющему после осуществления мероприятий, предусмотренных Законом о банкротстве. 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Финансовый управляющий имеет право на привлечение к процедуре банкротства третьих лиц, оплата услуг которых будет осуществляться за счет средств должника, а также на осуществление иных прав, связанных с исполнением возложенных на него обязанностей.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i/>
          <w:sz w:val="28"/>
          <w:szCs w:val="28"/>
        </w:rPr>
        <w:t>Финансовый управляющий я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вляется ключевой фигурой процедуры банкротства и выполняет роль посредника между должником, кредиторами и судом, участие финансового управляющего в процессе банкротства физического лица важно для соблюдения баланса интересов должника и кредиторов</w:t>
      </w:r>
      <w:r>
        <w:rPr>
          <w:rFonts w:cs="Times New Roman" w:ascii="Times New Roman" w:hAnsi="Times New Roman"/>
          <w:sz w:val="28"/>
          <w:szCs w:val="28"/>
        </w:rPr>
        <w:t xml:space="preserve">», -  отметила руководитель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Сапега.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edresurs.ru/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LibreOffice/7.5.6.2$Linux_X86_64 LibreOffice_project/50$Build-2</Application>
  <AppVersion>15.0000</AppVersion>
  <Pages>2</Pages>
  <Words>238</Words>
  <Characters>1898</Characters>
  <CharactersWithSpaces>2151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2025-06-17T12:14:00Z</cp:lastPrinted>
  <dcterms:modified xsi:type="dcterms:W3CDTF">2025-07-15T13:36:00Z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