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Style16"/>
        <w:numPr>
          <w:ilvl w:val="0"/>
          <w:numId w:val="0"/>
        </w:numPr>
        <w:ind w:hanging="0"/>
        <w:jc w:val="center"/>
        <w:outlineLvl w:val="0"/>
        <w:rPr>
          <w:rStyle w:val="Style14"/>
          <w:b/>
          <w:b/>
          <w:sz w:val="28"/>
          <w:szCs w:val="28"/>
        </w:rPr>
      </w:pPr>
      <w:r>
        <w:rPr>
          <w:b/>
          <w:sz w:val="28"/>
          <w:szCs w:val="28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-13335</wp:posOffset>
            </wp:positionH>
            <wp:positionV relativeFrom="paragraph">
              <wp:posOffset>107950</wp:posOffset>
            </wp:positionV>
            <wp:extent cx="1343660" cy="1343660"/>
            <wp:effectExtent l="0" t="0" r="0" b="0"/>
            <wp:wrapSquare wrapText="largest"/>
            <wp:docPr id="1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1343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Style16"/>
        <w:numPr>
          <w:ilvl w:val="0"/>
          <w:numId w:val="0"/>
        </w:numPr>
        <w:ind w:hanging="0"/>
        <w:jc w:val="both"/>
        <w:outlineLvl w:val="0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</w:t>
      </w:r>
      <w:r>
        <w:rPr>
          <w:b/>
          <w:sz w:val="22"/>
          <w:szCs w:val="22"/>
        </w:rPr>
        <w:t>ПРЕСС-СЛУЖБА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  <w:r>
        <w:rPr>
          <w:b/>
          <w:sz w:val="22"/>
          <w:szCs w:val="22"/>
        </w:rPr>
        <w:t xml:space="preserve">ГОСУДАРСТВЕННОГО УЧРЕЖДЕНИЯ – ОТДЕЛЕНИЯ 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>ПЕНСИОННОГО ФОНДА РФ ПО ВОЛГОГРАДСКОЙ ОБЛАСТИ</w:t>
      </w:r>
    </w:p>
    <w:p>
      <w:pPr>
        <w:pStyle w:val="Style20"/>
        <w:ind w:left="1622" w:right="0" w:firstLine="578"/>
        <w:jc w:val="center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Style20"/>
        <w:ind w:left="1620" w:right="0" w:hanging="0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114300" distR="114300" simplePos="0" locked="0" layoutInCell="1" allowOverlap="1" relativeHeight="3">
                <wp:simplePos x="0" y="0"/>
                <wp:positionH relativeFrom="column">
                  <wp:posOffset>-1095375</wp:posOffset>
                </wp:positionH>
                <wp:positionV relativeFrom="paragraph">
                  <wp:posOffset>76200</wp:posOffset>
                </wp:positionV>
                <wp:extent cx="6666230" cy="19050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665760" cy="1836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86.3pt,5.35pt" to="438.5pt,6.75pt" stroked="t" style="position:absolute;flip:y">
                <v:stroke color="black" weight="57240" joinstyle="miter" endcap="flat"/>
                <v:fill o:detectmouseclick="t" on="false"/>
              </v:line>
            </w:pict>
          </mc:Fallback>
        </mc:AlternateContent>
      </w:r>
    </w:p>
    <w:p>
      <w:pPr>
        <w:pStyle w:val="Style20"/>
        <w:ind w:left="1622" w:right="0" w:hanging="0"/>
        <w:jc w:val="center"/>
        <w:rPr/>
      </w:pPr>
      <w:r>
        <w:rPr>
          <w:b/>
          <w:bCs/>
          <w:sz w:val="20"/>
          <w:szCs w:val="20"/>
        </w:rPr>
        <w:t>Официальный сайт Отделения ПФР по Волгоградской области –</w:t>
      </w:r>
      <w:r>
        <w:rPr>
          <w:b/>
          <w:bCs/>
          <w:sz w:val="20"/>
          <w:szCs w:val="20"/>
          <w:u w:val="single"/>
        </w:rPr>
        <w:t xml:space="preserve"> </w:t>
      </w:r>
      <w:hyperlink r:id="rId3">
        <w:r>
          <w:rPr>
            <w:rStyle w:val="Style11"/>
            <w:sz w:val="24"/>
            <w:szCs w:val="24"/>
            <w:lang w:val="en-US"/>
          </w:rPr>
          <w:t>pfr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gov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ru</w:t>
        </w:r>
      </w:hyperlink>
    </w:p>
    <w:p>
      <w:pPr>
        <w:pStyle w:val="Normal"/>
        <w:jc w:val="center"/>
        <w:rPr>
          <w:rFonts w:ascii="Liberation Serif;Times New Roman" w:hAnsi="Liberation Serif;Times New Roman" w:cs="Liberation Serif;Times New Roman"/>
          <w:sz w:val="28"/>
          <w:szCs w:val="28"/>
        </w:rPr>
      </w:pPr>
      <w:r>
        <w:rPr/>
      </w:r>
    </w:p>
    <w:p>
      <w:pPr>
        <w:pStyle w:val="Normal"/>
        <w:jc w:val="center"/>
        <w:rPr/>
      </w:pPr>
      <w:r>
        <w:rPr>
          <w:rFonts w:cs="Liberation Serif;Times New Roman" w:ascii="Liberation Serif;Times New Roman" w:hAnsi="Liberation Serif;Times New Roman"/>
          <w:b/>
          <w:bCs/>
          <w:sz w:val="28"/>
          <w:szCs w:val="28"/>
        </w:rPr>
        <w:t>Переходите на ЭТК: это удобно, надёжно и безопасно</w:t>
      </w:r>
      <w:r>
        <w:rPr>
          <w:rFonts w:cs="Liberation Serif;Times New Roman" w:ascii="Liberation Serif;Times New Roman" w:hAnsi="Liberation Serif;Times New Roman"/>
          <w:sz w:val="28"/>
          <w:szCs w:val="28"/>
        </w:rPr>
        <w:t xml:space="preserve"> </w:t>
      </w:r>
    </w:p>
    <w:p>
      <w:pPr>
        <w:pStyle w:val="Normal"/>
        <w:jc w:val="center"/>
        <w:rPr>
          <w:rFonts w:ascii="Liberation Serif;Times New Roman" w:hAnsi="Liberation Serif;Times New Roman" w:cs="Liberation Serif;Times New Roman"/>
          <w:sz w:val="12"/>
          <w:szCs w:val="12"/>
        </w:rPr>
      </w:pPr>
      <w:r>
        <w:rPr>
          <w:rFonts w:cs="Liberation Serif;Times New Roman" w:ascii="Liberation Serif;Times New Roman" w:hAnsi="Liberation Serif;Times New Roman"/>
          <w:sz w:val="12"/>
          <w:szCs w:val="12"/>
        </w:rPr>
      </w:r>
    </w:p>
    <w:p>
      <w:pPr>
        <w:pStyle w:val="Normal"/>
        <w:jc w:val="both"/>
        <w:rPr/>
      </w:pPr>
      <w:r>
        <w:rPr>
          <w:rFonts w:cs="Liberation Serif;Times New Roman" w:ascii="Liberation Serif;Times New Roman" w:hAnsi="Liberation Serif;Times New Roman"/>
          <w:sz w:val="28"/>
          <w:szCs w:val="28"/>
        </w:rPr>
        <w:tab/>
        <w:t xml:space="preserve">С 2020 года  Россия перешла на электронные трудовые книжки (ЭТК). </w:t>
      </w:r>
      <w:r>
        <w:rPr>
          <w:rFonts w:cs="Liberation Serif;Times New Roman" w:ascii="Liberation Serif;Times New Roman" w:hAnsi="Liberation Serif;Times New Roman"/>
          <w:i/>
          <w:iCs/>
          <w:sz w:val="28"/>
          <w:szCs w:val="28"/>
        </w:rPr>
        <w:t>При этом  не все работающие граждане знают о проводимой реформе, о преимуществах ЭТК и потому не спешат переходить к новому варианту важного документа. Часть россиян не уверены в том, что их данные без потерь перенесутся в электронный формат и будут находиться под надёжной защитой.</w:t>
      </w:r>
    </w:p>
    <w:p>
      <w:pPr>
        <w:pStyle w:val="Normal"/>
        <w:jc w:val="both"/>
        <w:rPr/>
      </w:pPr>
      <w:r>
        <w:rPr>
          <w:rFonts w:cs="Liberation Serif;Times New Roman" w:ascii="Liberation Serif;Times New Roman" w:hAnsi="Liberation Serif;Times New Roman"/>
          <w:sz w:val="28"/>
          <w:szCs w:val="28"/>
        </w:rPr>
        <w:tab/>
        <w:t>В связи с этим напоминаем: информационная система Пенсионного фонда Российской Федерации аттестована в соответствии с действующим законодательством в области защиты персональных данных. Многолетний опыт показывает высокий уровень её защищённости.</w:t>
      </w:r>
    </w:p>
    <w:p>
      <w:pPr>
        <w:pStyle w:val="Normal"/>
        <w:jc w:val="both"/>
        <w:rPr/>
      </w:pPr>
      <w:r>
        <w:rPr>
          <w:rFonts w:cs="Liberation Serif;Times New Roman" w:ascii="Liberation Serif;Times New Roman" w:hAnsi="Liberation Serif;Times New Roman"/>
          <w:sz w:val="28"/>
          <w:szCs w:val="28"/>
        </w:rPr>
        <w:tab/>
        <w:t>Электронная трудовая книжка сохраняет практически весь перечень сведений, которые учитываются в бумажной трудовой книжке, к тому же имеет достаточно весомый ряд преимуществ как для работодателей, так и для работников. Это, во-первых, минимизация рисков ошибок при заполнении трудовой книжки, во-вторых, исключение риска её утраты, прозрачность трудовых отношений - все данные передаются и хранятся в базах ПФР, а доступ к личному кабинету есть у каждого работника.</w:t>
        <w:tab/>
      </w:r>
    </w:p>
    <w:p>
      <w:pPr>
        <w:pStyle w:val="Normal"/>
        <w:jc w:val="both"/>
        <w:rPr>
          <w:rFonts w:ascii="Liberation Serif;Times New Roman" w:hAnsi="Liberation Serif;Times New Roman" w:cs="Liberation Serif;Times New Roman"/>
          <w:sz w:val="28"/>
          <w:szCs w:val="28"/>
        </w:rPr>
      </w:pPr>
      <w:r>
        <w:rPr>
          <w:rFonts w:cs="Liberation Serif;Times New Roman" w:ascii="Liberation Serif;Times New Roman" w:hAnsi="Liberation Serif;Times New Roman"/>
          <w:sz w:val="28"/>
          <w:szCs w:val="28"/>
        </w:rPr>
        <w:tab/>
        <w:t xml:space="preserve">Чтобы </w:t>
      </w:r>
      <w:r>
        <w:rPr>
          <w:rFonts w:cs="Liberation Serif;Times New Roman" w:ascii="Liberation Serif;Times New Roman" w:hAnsi="Liberation Serif;Times New Roman"/>
          <w:b/>
          <w:bCs/>
          <w:sz w:val="28"/>
          <w:szCs w:val="28"/>
        </w:rPr>
        <w:t>перейти на ЭТК</w:t>
      </w:r>
      <w:r>
        <w:rPr>
          <w:rFonts w:cs="Liberation Serif;Times New Roman" w:ascii="Liberation Serif;Times New Roman" w:hAnsi="Liberation Serif;Times New Roman"/>
          <w:sz w:val="28"/>
          <w:szCs w:val="28"/>
        </w:rPr>
        <w:t xml:space="preserve">, нужно написать в свободной форме соответствующее заявление и отдать его своему работодателю. </w:t>
      </w:r>
    </w:p>
    <w:p>
      <w:pPr>
        <w:pStyle w:val="Normal"/>
        <w:jc w:val="both"/>
        <w:rPr>
          <w:sz w:val="28"/>
          <w:szCs w:val="28"/>
        </w:rPr>
      </w:pPr>
      <w:r>
        <w:rPr>
          <w:rFonts w:cs="Liberation Serif;Times New Roman" w:ascii="Liberation Serif;Times New Roman" w:hAnsi="Liberation Serif;Times New Roman"/>
          <w:sz w:val="28"/>
          <w:szCs w:val="28"/>
        </w:rPr>
        <w:tab/>
        <w:t xml:space="preserve">Как </w:t>
      </w:r>
      <w:r>
        <w:rPr>
          <w:rFonts w:cs="Liberation Serif;Times New Roman" w:ascii="Liberation Serif;Times New Roman" w:hAnsi="Liberation Serif;Times New Roman"/>
          <w:b/>
          <w:bCs/>
          <w:sz w:val="28"/>
          <w:szCs w:val="28"/>
        </w:rPr>
        <w:t>узнать данные из ЭТК</w:t>
      </w:r>
      <w:r>
        <w:rPr>
          <w:rFonts w:cs="Liberation Serif;Times New Roman" w:ascii="Liberation Serif;Times New Roman" w:hAnsi="Liberation Serif;Times New Roman"/>
          <w:sz w:val="28"/>
          <w:szCs w:val="28"/>
        </w:rPr>
        <w:t>? Вы</w:t>
      </w:r>
      <w:r>
        <w:rPr>
          <w:sz w:val="28"/>
          <w:szCs w:val="28"/>
        </w:rPr>
        <w:t>писку из электронной трудовой книжки можно получить в личном кабинете на сайте ПФР или на портале Госуслуг, в офисе МФЦ либо в клиентской службе ПФР, а также в виде бумажной выписки у работодателя за период работы у него.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cs="Liberation Serif;Times New Roman" w:ascii="Liberation Serif;Times New Roman" w:hAnsi="Liberation Serif;Times New Roman"/>
          <w:sz w:val="28"/>
          <w:szCs w:val="28"/>
        </w:rPr>
        <w:tab/>
        <w:t xml:space="preserve">Подробнее ознакомиться с информацией об ЭТК можно на официальном сайте ПФР </w:t>
      </w:r>
      <w:hyperlink r:id="rId4">
        <w:r>
          <w:rPr>
            <w:rStyle w:val="Style11"/>
            <w:rFonts w:cs="Liberation Serif;Times New Roman" w:ascii="Liberation Serif;Times New Roman" w:hAnsi="Liberation Serif;Times New Roman"/>
            <w:sz w:val="28"/>
            <w:szCs w:val="28"/>
          </w:rPr>
          <w:t>pfr.gov.ru</w:t>
        </w:r>
      </w:hyperlink>
      <w:r>
        <w:rPr>
          <w:rFonts w:cs="Liberation Serif;Times New Roman" w:ascii="Liberation Serif;Times New Roman" w:hAnsi="Liberation Serif;Times New Roman"/>
          <w:sz w:val="28"/>
          <w:szCs w:val="28"/>
        </w:rPr>
        <w:t xml:space="preserve"> в разделе «Электронная трудовая книжка». 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right"/>
        <w:rPr/>
      </w:pPr>
      <w:r>
        <w:rPr/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Liberation Serif">
    <w:altName w:val="Times New Roman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pfrf.ru/" TargetMode="External"/><Relationship Id="rId4" Type="http://schemas.openxmlformats.org/officeDocument/2006/relationships/hyperlink" Target="https://pfr.gov.ru/grazhdanam/etk/" TargetMode="Externa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12</TotalTime>
  <Application>LibreOffice/5.0.4.2$Windows_x86 LibreOffice_project/2b9802c1994aa0b7dc6079e128979269cf95bc78</Application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2019-01-21T14:47:01Z</cp:lastPrinted>
  <dcterms:modified xsi:type="dcterms:W3CDTF">2021-10-25T08:12:29Z</dcterms:modified>
  <cp:revision>123</cp:revision>
</cp:coreProperties>
</file>