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552" w:rsidRPr="00CC3552" w:rsidRDefault="00CC3552" w:rsidP="00CC355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C3552">
        <w:rPr>
          <w:rFonts w:ascii="Times New Roman" w:hAnsi="Times New Roman"/>
          <w:b/>
          <w:sz w:val="28"/>
          <w:szCs w:val="28"/>
        </w:rPr>
        <w:t>Волгоградский Росреестр рассказал, как защитить свои права в процедуре банкротства</w:t>
      </w:r>
    </w:p>
    <w:p w:rsidR="00CC3552" w:rsidRPr="00CC3552" w:rsidRDefault="00CC3552" w:rsidP="00CC3552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552" w:rsidRPr="00CC3552" w:rsidRDefault="00CC3552" w:rsidP="00CC3552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C3552">
        <w:rPr>
          <w:rFonts w:ascii="Times New Roman" w:hAnsi="Times New Roman"/>
          <w:sz w:val="28"/>
          <w:szCs w:val="28"/>
        </w:rPr>
        <w:t>Ключевой фигурой в делах о банкротстве граждан и юридических лиц является арбитражный управляющий, в связи с чем, вопрос его ответственности приобретает особую актуальность.</w:t>
      </w:r>
    </w:p>
    <w:p w:rsidR="00CC3552" w:rsidRPr="00CC3552" w:rsidRDefault="00CC3552" w:rsidP="00CC3552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С целью защиты прав участвующих в деле о банкротстве лиц от непрофессиональных или недобросовестных действий (бездействия) арбитражного управляющего предусмотрен правовой механизм воздействия на него в виде привлечения к различным видам ответственности: дисциплинарной, административной, уголовной, гражданско-правовой.</w:t>
      </w:r>
    </w:p>
    <w:p w:rsidR="00CC3552" w:rsidRPr="00CC3552" w:rsidRDefault="00CC3552" w:rsidP="00CC355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С жалобой на действия арбитражного управляющего можно обратиться: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- в правоохранительные органы, если в действиях арбитражного управляющего усматриваются признаки преступления;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- в арбитражный суд, рассматривающий дело о банкротстве, в порядке статьи 60 Закона о банкротстве;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- в саморегулируемую организацию арбитражных управляющих, членом которой он является (если при проверке деятельности арбитражного управляющего будут выявлены факты ненадлежащего исполнения им своих обязанностей, саморегулируемая организация может привлечь его к дисциплинарной ответственности в виде объявления замечания, выговора, наложения штрафа либо исключения из числа своих членов);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- в Управление Росреестра по месту нахождения должника (в случае выявления фактов ненадлежащего исполнения арбитражным управляющим своих обязанностей будет составлен административный протокол, который Управление Росреестра направит в арбитражный суд для возбуждения административного производства вне рамок дела о банкротстве).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рассматривает жалобы на действия арбитражных управляющих, осуществляющих свою деятельность в отношении должников, зарегистрированных на территории Волгоградской области.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В своем обращении гражданин может указать какие неправомерные действия, по его мнению, допускает арбитражный управляющий.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lastRenderedPageBreak/>
        <w:t xml:space="preserve">Указанное обращение Управление в обязательном порядке рассмотрит и в течении тридцати дней направит гражданину мотивированный ответ. 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Если в ходе рассмотрения обращения подтвердятся факты нарушений со стороны арбитражного управляющего, то Управление предпримет меры по привлечению арбитражного управляющего к административной ответственности.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sz w:val="28"/>
          <w:szCs w:val="28"/>
        </w:rPr>
        <w:t>Нарушение фиксируется путем составления протокола об административном правонарушении и соответствующе заявление направляется в арбитражный суд, который и примет решение о привлечении либо отказе в привлечении арбитражного управляющего к административной ответственности.</w:t>
      </w: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52" w:rsidRPr="00CC3552" w:rsidRDefault="00CC3552" w:rsidP="00CC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52">
        <w:rPr>
          <w:rFonts w:ascii="Times New Roman" w:hAnsi="Times New Roman" w:cs="Times New Roman"/>
          <w:i/>
          <w:sz w:val="28"/>
          <w:szCs w:val="28"/>
        </w:rPr>
        <w:t>«Указанный механизм гарантирован государством и позволяет гражданину защитить его нарушенные права от неправомерных действий арбитражных управляющих»,</w:t>
      </w:r>
      <w:r w:rsidRPr="00CC3552">
        <w:rPr>
          <w:rFonts w:ascii="Times New Roman" w:hAnsi="Times New Roman" w:cs="Times New Roman"/>
          <w:sz w:val="28"/>
          <w:szCs w:val="28"/>
        </w:rPr>
        <w:t xml:space="preserve"> - отмечает руководитель Управления Росреестра по Волгоградской области </w:t>
      </w:r>
      <w:r w:rsidRPr="00CC3552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CC3552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CC3552">
        <w:rPr>
          <w:rFonts w:ascii="Times New Roman" w:hAnsi="Times New Roman" w:cs="Times New Roman"/>
          <w:sz w:val="28"/>
          <w:szCs w:val="28"/>
        </w:rPr>
        <w:t>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C3552" w:rsidRDefault="00CC355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63C53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2023-04-28T07:14:00Z</dcterms:created>
  <dcterms:modified xsi:type="dcterms:W3CDTF">2023-04-28T07:14:00Z</dcterms:modified>
</cp:coreProperties>
</file>