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18 августа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«Проведение комплексных кадастровых работ за счет средств федерального и регионального бюджета»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8(8442)33-05-64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межмуниципального отдела по Жирновскому, Руднянскому и Еланскому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«Федеральный закон от 5 апреля 2021 г. № 79-ФЗ «О внесении изменений в отдельные законодательные акты Российской Федерации» (Закон о гаражной амнистии)»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8(84452)5-40-66;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19 августа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регистрации объектов недвижимости проведут «горячую линию»: 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порядке погашения запретов, наложенных судебными приставами - исполнителями»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 62-21-31;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Закону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8(84457)2-53-30;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20 августа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Палласовскому и Старополтавскому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и государственная регистрация прав»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8(84492)68-0-94;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21 августа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«Контроль и надзор в сфере саморегулируемых организаций</w:t>
        <w:br/>
        <w:t xml:space="preserve">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000FF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CCB1-03F2-4021-9573-0EA3321A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216</Words>
  <Characters>1465</Characters>
  <CharactersWithSpaces>1669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2025-08-18T12:02:41Z</cp:lastPrinted>
  <dcterms:modified xsi:type="dcterms:W3CDTF">2025-07-21T09:01:03Z</dcterms:modified>
  <cp:revision>121</cp:revision>
  <dc:subject/>
  <dc:title/>
</cp:coreProperties>
</file>