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br/>
      </w:r>
      <w:r>
        <w:rPr>
          <w:rStyle w:val="Strong"/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  <w:t xml:space="preserve">Управление Росреестра по Волгоградской области продолжает проводить активную работу по исправлению реестровых ошибок </w:t>
      </w:r>
    </w:p>
    <w:p>
      <w:pPr>
        <w:pStyle w:val="Normal"/>
        <w:spacing w:lineRule="auto" w:line="240" w:before="0" w:after="0"/>
        <w:ind w:firstLine="709"/>
        <w:jc w:val="both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Росреестра по Волгоградской области продолжает работу по выявлению и исправлению реестровых ошибок в Едином государственном реестре недвижимости (ЕГРН).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период с января по июль 2025 года исправлены реестровые ошибки </w:t>
        <w:br/>
      </w:r>
      <w:r>
        <w:rPr>
          <w:rFonts w:cs="Times New Roman" w:ascii="Times New Roman" w:hAnsi="Times New Roman"/>
          <w:b/>
          <w:sz w:val="28"/>
          <w:szCs w:val="28"/>
        </w:rPr>
        <w:t>в отношении 2511 объектов недвижимости</w:t>
      </w:r>
      <w:r>
        <w:rPr>
          <w:rFonts w:cs="Times New Roman" w:ascii="Times New Roman" w:hAnsi="Times New Roman"/>
          <w:sz w:val="28"/>
          <w:szCs w:val="28"/>
        </w:rPr>
        <w:t xml:space="preserve">. Наиболее распространенные реестровые ошибки - ошибки в описании местоположения границ земельных участков.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Напомним, что реестровая ошибка – это ошибка, содержащаяся </w:t>
        <w:br/>
        <w:t xml:space="preserve"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</w:t>
        <w:br/>
        <w:t>в орган регистрации прав.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«Исправление исторических накопленных реестровых ошибок повышает достоверность сведений, содержащих в Едином государственном реестре недвижимости»,</w:t>
      </w:r>
      <w:r>
        <w:rPr>
          <w:rFonts w:cs="Times New Roman" w:ascii="Times New Roman" w:hAnsi="Times New Roman"/>
          <w:sz w:val="28"/>
          <w:szCs w:val="28"/>
        </w:rPr>
        <w:t xml:space="preserve"> - подчеркнул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Дмитрий Бабайцев.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../../../../home/avsuyazova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Application>LibreOffice/7.5.6.2$Linux_X86_64 LibreOffice_project/50$Build-2</Application>
  <AppVersion>15.0000</AppVersion>
  <Pages>1</Pages>
  <Words>138</Words>
  <Characters>1081</Characters>
  <CharactersWithSpaces>1217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2025-08-11T11:01:19Z</cp:lastPrinted>
  <dcterms:modified xsi:type="dcterms:W3CDTF">2025-08-01T06:50:00Z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