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5CD5" w:rsidRDefault="00F95CD5" w:rsidP="00F95C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7F1">
        <w:rPr>
          <w:rFonts w:ascii="Times New Roman" w:hAnsi="Times New Roman" w:cs="Times New Roman"/>
          <w:b/>
          <w:sz w:val="28"/>
          <w:szCs w:val="28"/>
        </w:rPr>
        <w:t>О совершении сделок с объектами недвижимости, приобретенными за счет средств «материнского капитала» и кредитных (собственных) средств на основании договоров в простой письменной форме</w:t>
      </w:r>
    </w:p>
    <w:p w:rsidR="00F95CD5" w:rsidRPr="00DC27F1" w:rsidRDefault="00F95CD5" w:rsidP="00F95C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CD5" w:rsidRPr="00DC27F1" w:rsidRDefault="00F95CD5" w:rsidP="00F95C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CD5" w:rsidRDefault="00F95CD5" w:rsidP="00F95C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7F1">
        <w:rPr>
          <w:rFonts w:ascii="Times New Roman" w:hAnsi="Times New Roman" w:cs="Times New Roman"/>
          <w:sz w:val="28"/>
          <w:szCs w:val="28"/>
        </w:rPr>
        <w:t xml:space="preserve">Жилое помещение, приобретенное с использованием средств материнского капитала должно быть оформлено в общую собственность владельца сертификата, его супруга, детей (в том числе первого, второго, третьего ребенка и последующих детей) с определением размера долей по соглашению. </w:t>
      </w:r>
    </w:p>
    <w:p w:rsidR="00F95CD5" w:rsidRPr="00DC27F1" w:rsidRDefault="00F95CD5" w:rsidP="00F95CD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CD5" w:rsidRDefault="00F95CD5" w:rsidP="00F95CD5">
      <w:pPr>
        <w:spacing w:after="0" w:line="240" w:lineRule="auto"/>
        <w:ind w:left="66" w:firstLine="6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7F1">
        <w:rPr>
          <w:rFonts w:ascii="Times New Roman" w:hAnsi="Times New Roman" w:cs="Times New Roman"/>
          <w:sz w:val="28"/>
          <w:szCs w:val="28"/>
        </w:rPr>
        <w:t xml:space="preserve">Соглашение об определении размеров долей может быть оформлено с наделением каждого из супругов и детей долями в праве общей долевой собственности. При этом в силу положений Семейного кодекса Российской Федерации (далее – СК) такое соглашение подлежит нотариальному удостоверению, поскольку им изменяется установленный законом режим общей совместной собственности супругов на приобретенное в том числе за счет общего дохода, полученного в период брака, имущество на общую долевую собственность (если в соответствии со статьями 33, 41, 42 СК между супругами не был заключен брачный договор, предусматривающий изменение установленного законом режима совместной собственности). </w:t>
      </w:r>
    </w:p>
    <w:p w:rsidR="00F95CD5" w:rsidRDefault="00F95CD5" w:rsidP="00F95CD5">
      <w:pPr>
        <w:spacing w:after="0" w:line="240" w:lineRule="auto"/>
        <w:ind w:left="66" w:firstLine="6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CD5" w:rsidRDefault="00F95CD5" w:rsidP="00F95CD5">
      <w:pPr>
        <w:spacing w:after="0" w:line="240" w:lineRule="auto"/>
        <w:ind w:left="66" w:firstLine="6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27F1">
        <w:rPr>
          <w:rFonts w:ascii="Times New Roman" w:hAnsi="Times New Roman" w:cs="Times New Roman"/>
          <w:sz w:val="28"/>
          <w:szCs w:val="28"/>
        </w:rPr>
        <w:t>Однако, соглашение об определении размеров долей в праве общей долевой собственности может быть оформлено с наделением долями в праве общей долевой собственности детей и супругов, доля в праве общей долевой собственности которых поступит в их совместную собственность. В этом случае такое соглашение, поскольку им на указанное имущество режим совместной собственности не изменяется, может быть оформлено в простой письменной форме.</w:t>
      </w:r>
    </w:p>
    <w:p w:rsidR="00F95CD5" w:rsidRDefault="00F95CD5" w:rsidP="00F95CD5">
      <w:pPr>
        <w:spacing w:after="0" w:line="240" w:lineRule="auto"/>
        <w:ind w:left="66" w:firstLine="6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5CD5" w:rsidRPr="00DC27F1" w:rsidRDefault="00F95CD5" w:rsidP="00F95CD5">
      <w:pPr>
        <w:spacing w:after="0" w:line="240" w:lineRule="auto"/>
        <w:ind w:left="66" w:firstLine="6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7F1">
        <w:rPr>
          <w:rFonts w:ascii="Times New Roman" w:hAnsi="Times New Roman" w:cs="Times New Roman"/>
          <w:sz w:val="28"/>
          <w:szCs w:val="28"/>
        </w:rPr>
        <w:t>Следует учитывать, что нотариальное удостоверение сделки в соответствии с пунктом 2 статьи 163 Гражданского кодекса Российской Федерации является обязательным, несоблюдение нотариальной формы сделки влечет ее ничтожность (пункт 3 статьи 163 ГК РФ).</w:t>
      </w:r>
      <w:r w:rsidRPr="00DC27F1">
        <w:rPr>
          <w:sz w:val="28"/>
          <w:szCs w:val="28"/>
        </w:rPr>
        <w:t xml:space="preserve"> </w:t>
      </w:r>
      <w:r w:rsidRPr="00DC27F1">
        <w:rPr>
          <w:rFonts w:ascii="Times New Roman" w:hAnsi="Times New Roman" w:cs="Times New Roman"/>
          <w:sz w:val="28"/>
          <w:szCs w:val="28"/>
        </w:rPr>
        <w:t>Ничтожная сделка недействительна, независимо от признания ее таковой судом (пункт 1 статьи 166 ГК РФ).</w:t>
      </w:r>
    </w:p>
    <w:p w:rsidR="008E7F46" w:rsidRPr="008B760B" w:rsidRDefault="008E7F4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16DAE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DF3690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95CD5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2022-08-17T07:10:00Z</dcterms:created>
  <dcterms:modified xsi:type="dcterms:W3CDTF">2022-08-17T07:10:00Z</dcterms:modified>
</cp:coreProperties>
</file>