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D505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505A">
        <w:rPr>
          <w:rFonts w:ascii="Times New Roman" w:hAnsi="Times New Roman"/>
          <w:b/>
          <w:sz w:val="28"/>
          <w:szCs w:val="28"/>
        </w:rPr>
        <w:t>Государственная регистрация объектов культурного наследия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совместно с ФГБУ «ФКП Росреестра» по Волгоградской области поставлен на кадастровый учет и зарегистрировано право собственности </w:t>
      </w:r>
      <w:proofErr w:type="spellStart"/>
      <w:r w:rsidRPr="000D505A">
        <w:rPr>
          <w:rFonts w:ascii="Times New Roman" w:hAnsi="Times New Roman"/>
          <w:sz w:val="28"/>
          <w:szCs w:val="28"/>
        </w:rPr>
        <w:t>Качалинского</w:t>
      </w:r>
      <w:proofErr w:type="spellEnd"/>
      <w:r w:rsidRPr="000D505A">
        <w:rPr>
          <w:rFonts w:ascii="Times New Roman" w:hAnsi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на сооружение - Братская могила советских воинов, погибших в период Сталинградской битвы (1942-1943 </w:t>
      </w:r>
      <w:proofErr w:type="spellStart"/>
      <w:r w:rsidRPr="000D505A">
        <w:rPr>
          <w:rFonts w:ascii="Times New Roman" w:hAnsi="Times New Roman"/>
          <w:sz w:val="28"/>
          <w:szCs w:val="28"/>
        </w:rPr>
        <w:t>г.г</w:t>
      </w:r>
      <w:proofErr w:type="spellEnd"/>
      <w:r w:rsidRPr="000D505A">
        <w:rPr>
          <w:rFonts w:ascii="Times New Roman" w:hAnsi="Times New Roman"/>
          <w:sz w:val="28"/>
          <w:szCs w:val="28"/>
        </w:rPr>
        <w:t xml:space="preserve">), расположенное на территории </w:t>
      </w:r>
      <w:proofErr w:type="spellStart"/>
      <w:r w:rsidRPr="000D505A">
        <w:rPr>
          <w:rFonts w:ascii="Times New Roman" w:hAnsi="Times New Roman"/>
          <w:sz w:val="28"/>
          <w:szCs w:val="28"/>
        </w:rPr>
        <w:t>Качалинского</w:t>
      </w:r>
      <w:proofErr w:type="spellEnd"/>
      <w:r w:rsidRPr="000D505A">
        <w:rPr>
          <w:rFonts w:ascii="Times New Roman" w:hAnsi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области. 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>Памятник является объектом культурного наследия народов Российской Федерации</w:t>
      </w:r>
      <w:r w:rsidR="00BE2C9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 w:rsidRPr="000D505A">
        <w:rPr>
          <w:rFonts w:ascii="Times New Roman" w:hAnsi="Times New Roman"/>
          <w:b/>
          <w:sz w:val="28"/>
          <w:szCs w:val="28"/>
        </w:rPr>
        <w:t>Наталья Шмелева</w:t>
      </w:r>
      <w:r w:rsidRPr="000D505A">
        <w:rPr>
          <w:rFonts w:ascii="Times New Roman" w:hAnsi="Times New Roman"/>
          <w:sz w:val="28"/>
          <w:szCs w:val="28"/>
        </w:rPr>
        <w:t xml:space="preserve"> отметила, что осуществлению учетно-регистрационных действий в отношении социально значимых объектов уделяется особое внимание. Государственные услуги по объектам данной категории предоставляются в максимально короткие сроки.</w:t>
      </w:r>
    </w:p>
    <w:p w:rsidR="000D505A" w:rsidRPr="000D505A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 xml:space="preserve">Сокращение сроков учетно-регистрационных действий в отношении Памятника позволит сельскому поселению освоить денежные средства, выделенные Комитетом государственной охраны объектов культурного наследия Волгоградской области в преддверии 80-летия Победы в Сталинградской битве. </w:t>
      </w:r>
    </w:p>
    <w:p w:rsidR="003C0C0B" w:rsidRDefault="000D505A" w:rsidP="000D50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D505A">
        <w:rPr>
          <w:rFonts w:ascii="Times New Roman" w:hAnsi="Times New Roman"/>
          <w:sz w:val="28"/>
          <w:szCs w:val="28"/>
        </w:rPr>
        <w:t>Субсидия будет направлена на проектно-сметную документацию для проведения ремонтных работ обелиска.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166C5" w:rsidRDefault="005166C5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D505A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E2C94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2021-10-25T10:57:00Z</dcterms:created>
  <dcterms:modified xsi:type="dcterms:W3CDTF">2021-10-25T11:05:00Z</dcterms:modified>
</cp:coreProperties>
</file>