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D2" w:rsidRDefault="000901D2" w:rsidP="0027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D2" w:rsidRDefault="000901D2" w:rsidP="0027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6C" w:rsidRPr="001521BC" w:rsidRDefault="0027586C" w:rsidP="002758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BC">
        <w:rPr>
          <w:rFonts w:ascii="Times New Roman" w:hAnsi="Times New Roman" w:cs="Times New Roman"/>
          <w:b/>
          <w:sz w:val="28"/>
          <w:szCs w:val="28"/>
        </w:rPr>
        <w:t>Видеоконференция с органами местного самоуправления по вопросам реализации 518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21BC">
        <w:rPr>
          <w:rFonts w:ascii="Times New Roman" w:hAnsi="Times New Roman" w:cs="Times New Roman"/>
          <w:b/>
          <w:sz w:val="28"/>
          <w:szCs w:val="28"/>
        </w:rPr>
        <w:t>ФЗ</w:t>
      </w:r>
    </w:p>
    <w:p w:rsidR="0027586C" w:rsidRDefault="0027586C" w:rsidP="0027586C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86C" w:rsidRDefault="0027586C" w:rsidP="0027586C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под председательством первого заместителя Губернатора Волгоградской области </w:t>
      </w:r>
      <w:r w:rsidRPr="001521BC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proofErr w:type="spellStart"/>
      <w:r w:rsidRPr="001521BC">
        <w:rPr>
          <w:rFonts w:ascii="Times New Roman" w:hAnsi="Times New Roman" w:cs="Times New Roman"/>
          <w:b/>
          <w:sz w:val="28"/>
          <w:szCs w:val="28"/>
        </w:rPr>
        <w:t>Дорждеева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 вопрос реализации мероприятий по наполнению Единого государственного реестра недвижимости сведениями о правообладателях ранее учтенных объектов недвижимости, расположенных на территории Волгоградской области. 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совещании приняли участие представители Управления, филиала ФГБУ «ФКП Росреестра» по Волгоградской области, комитета по управлению государственным имуществом Волгоградской области и органов местного самоуправления муниципальных образований Волгоградской области.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совещания рассмотрены вопросы Закона о выявления правообладателей, а также результаты работы органов местного самоуправления по выявлению правообладателей ранее учтенных объектов недвижимости в июле 2021 года.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1BC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п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результатам проведенных в 2021 году органами местного самоуправления совместных мероприятий с Управлением и Филиалом, количество объектов недвижимости уменьшено: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участкам на 2845 объектов (3,74%);</w:t>
      </w:r>
    </w:p>
    <w:p w:rsidR="0027586C" w:rsidRDefault="0027586C" w:rsidP="0027586C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объектам капитального строительства на 6995 объектов, (2,72%);</w:t>
      </w:r>
    </w:p>
    <w:p w:rsidR="0027586C" w:rsidRDefault="0027586C" w:rsidP="0027586C">
      <w:pPr>
        <w:pStyle w:val="a7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помещениям на 157811 (42,02%).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  <w:bookmarkStart w:id="0" w:name="_GoBack"/>
      <w:bookmarkEnd w:id="0"/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901D2"/>
    <w:rsid w:val="000F7DA0"/>
    <w:rsid w:val="00117966"/>
    <w:rsid w:val="00133F94"/>
    <w:rsid w:val="00192D9F"/>
    <w:rsid w:val="001B09F9"/>
    <w:rsid w:val="002344FE"/>
    <w:rsid w:val="0027586C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B60DD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2021-08-23T10:32:00Z</dcterms:created>
  <dcterms:modified xsi:type="dcterms:W3CDTF">2021-08-23T10:32:00Z</dcterms:modified>
</cp:coreProperties>
</file>