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5CD5" w:rsidRDefault="00F95CD5" w:rsidP="00F95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F1">
        <w:rPr>
          <w:rFonts w:ascii="Times New Roman" w:hAnsi="Times New Roman" w:cs="Times New Roman"/>
          <w:b/>
          <w:sz w:val="28"/>
          <w:szCs w:val="28"/>
        </w:rPr>
        <w:t>О совершении сделок с объектами недвижимости, приобретенными за счет средств «материнского капитала» и кредитных (собственных) средств на основании договоров в простой письменной форме</w:t>
      </w:r>
    </w:p>
    <w:p w:rsidR="00F95CD5" w:rsidRPr="00DC27F1" w:rsidRDefault="00F95CD5" w:rsidP="00F95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D5" w:rsidRPr="00DC27F1" w:rsidRDefault="00F95CD5" w:rsidP="00F95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Default="00F95CD5" w:rsidP="00F95C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 xml:space="preserve">Жилое помещение, приобретенное с использованием средств материнского капитала должно быть оформлено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соглашению. </w:t>
      </w:r>
    </w:p>
    <w:p w:rsidR="00F95CD5" w:rsidRPr="00DC27F1" w:rsidRDefault="00F95CD5" w:rsidP="00F95C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 xml:space="preserve">Соглашение об определении размеров долей может быть оформлено с наделением каждого из супругов и детей долями в праве общей долевой собственности. При этом в силу положений Семейного кодекса Российской Федерации (далее – СК) такое соглашение подлежит нотариальному удостоверению, поскольку им изменяется установленный законом режим общей совместной собственности супругов на приобретенное в том числе за счет общего дохода, полученного в период брака, имущество на общую долевую собственность (если в соответствии со статьями 33, 41, 42 СК между супругами не был заключен брачный договор, предусматривающий изменение установленного законом режима совместной собственности). </w:t>
      </w: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7F1">
        <w:rPr>
          <w:rFonts w:ascii="Times New Roman" w:hAnsi="Times New Roman" w:cs="Times New Roman"/>
          <w:sz w:val="28"/>
          <w:szCs w:val="28"/>
        </w:rPr>
        <w:t>Однако, соглашение об определении размеров долей в праве общей долевой собственности может быть оформлено с наделением долями в праве общей долевой собственности детей и супругов, доля в праве общей долевой собственности которых поступит в их совместную собственность. В этом случае такое соглашение, поскольку им на указанное имущество режим совместной собственности не изменяется, может быть оформлено в простой письменной форме.</w:t>
      </w:r>
    </w:p>
    <w:p w:rsidR="00F95CD5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Pr="00DC27F1" w:rsidRDefault="00F95CD5" w:rsidP="00F95CD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>Следует учитывать, что нотариальное удостоверение сделки в соответствии с пунктом 2 статьи 163 Гражданского кодекса Российской Федерации является обязательным, несоблюдение нотариальной формы сделки влечет ее ничтожность (пункт 3 статьи 163 ГК РФ).</w:t>
      </w:r>
      <w:r w:rsidRPr="00DC27F1">
        <w:rPr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Ничтожная сделка недействительна, независимо от признания ее таковой судом (пункт 1 статьи 166 ГК РФ).</w:t>
      </w: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16DAE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95CD5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2022-08-17T07:10:00Z</dcterms:created>
  <dcterms:modified xsi:type="dcterms:W3CDTF">2022-08-17T07:10:00Z</dcterms:modified>
</cp:coreProperties>
</file>