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BCA" w:rsidRPr="0039593A" w:rsidRDefault="00063BCA" w:rsidP="00063BCA">
      <w:pPr>
        <w:pStyle w:val="a7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39593A">
        <w:rPr>
          <w:rFonts w:ascii="Times New Roman" w:hAnsi="Times New Roman"/>
          <w:b/>
          <w:sz w:val="28"/>
          <w:szCs w:val="28"/>
        </w:rPr>
        <w:t>Кто проводит оценку имущества должника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063BCA" w:rsidRDefault="00063BCA" w:rsidP="0006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 банкротстве арбитражный управляющий обязан привлечь оценщика для оценки имущества должника </w:t>
      </w:r>
      <w:r w:rsidRPr="006E40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6E404B">
        <w:rPr>
          <w:rFonts w:ascii="Times New Roman" w:hAnsi="Times New Roman" w:cs="Times New Roman"/>
          <w:sz w:val="28"/>
          <w:szCs w:val="28"/>
        </w:rPr>
        <w:t xml:space="preserve"> оплату его услуг за счет имущества должника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04B">
        <w:rPr>
          <w:rFonts w:ascii="Times New Roman" w:hAnsi="Times New Roman" w:cs="Times New Roman"/>
          <w:sz w:val="28"/>
          <w:szCs w:val="28"/>
        </w:rPr>
        <w:t>аконом.</w:t>
      </w:r>
    </w:p>
    <w:p w:rsidR="00063BCA" w:rsidRPr="006E404B" w:rsidRDefault="00063BCA" w:rsidP="0006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 xml:space="preserve">Оценка имущества должника проводится оценщиком, который должен соответствовать требованиям, установленным </w:t>
      </w:r>
      <w:hyperlink r:id="rId6" w:history="1">
        <w:r w:rsidRPr="002379C5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379C5"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деятельности, и не может являться заинтересованным лицом в отношении арбитражного управляющего, должника и его кредиторов.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>Собрание кредиторов или комитет кре</w:t>
      </w:r>
      <w:r>
        <w:rPr>
          <w:rFonts w:ascii="Times New Roman" w:hAnsi="Times New Roman" w:cs="Times New Roman"/>
          <w:sz w:val="28"/>
          <w:szCs w:val="28"/>
        </w:rPr>
        <w:t xml:space="preserve">диторов вправе определить лицо, </w:t>
      </w:r>
      <w:r w:rsidRPr="006E404B">
        <w:rPr>
          <w:rFonts w:ascii="Times New Roman" w:hAnsi="Times New Roman" w:cs="Times New Roman"/>
          <w:sz w:val="28"/>
          <w:szCs w:val="28"/>
        </w:rPr>
        <w:t>на которое с его согласия возлагается обязанность по оплате указанных услуг оценщиков с последующей внеочередной компенсацией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им расходов за счет имущества должника.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>Сведения об отчете об оценке имущества должника,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>На основании решения собрания кредиторов или комитета кредиторов оценка движимого имущества должника, балансовая стоимость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на последнюю отчетную дату, предшествующую дате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о признании должника банкротом, составляет менее чем сто тысяч рублей, может быть проведена без привлечения оценщика.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E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ED">
        <w:rPr>
          <w:rFonts w:ascii="Times New Roman" w:hAnsi="Times New Roman" w:cs="Times New Roman"/>
          <w:sz w:val="28"/>
          <w:szCs w:val="28"/>
        </w:rPr>
        <w:t xml:space="preserve"> о банкротстве предусмотрено, что учредители (участники) должника или собственник имущества должника - унитарного предприятия, конкурсные кредиторы, уполномоченные органы вправе обжаловать результаты оценки имущества должника в порядке, установленном федеральным законом.</w:t>
      </w:r>
    </w:p>
    <w:p w:rsidR="00063BCA" w:rsidRPr="00B470ED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Pr="006E404B" w:rsidRDefault="00063BCA" w:rsidP="00063B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593A">
        <w:rPr>
          <w:rFonts w:ascii="Times New Roman" w:hAnsi="Times New Roman" w:cs="Times New Roman"/>
          <w:i/>
          <w:sz w:val="28"/>
          <w:szCs w:val="28"/>
        </w:rPr>
        <w:t>Проведение оценки является одним из мероприятий в процедуре банкротства, которое направлено на реализацию имущества должника с целью удовлетворения требований кредиторов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39593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39593A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3BCA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533924B637257226023AB399E9B60698FDF2DB877FDFE555FAB8427C201CFD16544BCD13D859940E6FDDECFA28D15F378F1693ABFD73BAb5s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2022-06-08T07:28:00Z</dcterms:created>
  <dcterms:modified xsi:type="dcterms:W3CDTF">2022-06-08T07:28:00Z</dcterms:modified>
</cp:coreProperties>
</file>