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10E55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Волгоградской области для строительства жилья выявлено </w:t>
      </w:r>
      <w:r w:rsidR="00CE6C83">
        <w:rPr>
          <w:rFonts w:ascii="Times New Roman" w:hAnsi="Times New Roman"/>
          <w:b/>
          <w:noProof/>
          <w:sz w:val="28"/>
          <w:szCs w:val="28"/>
          <w:lang w:eastAsia="ru-RU"/>
        </w:rPr>
        <w:t>38 земельных участков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На заседании оперативного штаба по реализации проекта «Земля для стройки» в январе 2024 года в перечень земель, пригодных для строительства жилья, включены еще 38 земельных участков, общей площадью 32 077 кв.м., расположенных на территории г. Волгограда, г</w:t>
      </w:r>
      <w:r>
        <w:rPr>
          <w:rFonts w:ascii="Times New Roman" w:hAnsi="Times New Roman"/>
          <w:sz w:val="28"/>
          <w:szCs w:val="28"/>
        </w:rPr>
        <w:t xml:space="preserve">. Суровикино </w:t>
      </w:r>
      <w:r w:rsidRPr="00110E55">
        <w:rPr>
          <w:rFonts w:ascii="Times New Roman" w:hAnsi="Times New Roman"/>
          <w:sz w:val="28"/>
          <w:szCs w:val="28"/>
        </w:rPr>
        <w:t>и г. Михайловки.</w:t>
      </w:r>
    </w:p>
    <w:p w:rsidR="00110E55" w:rsidRP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C69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Электронный сервис «Земля для стройки» регулярно пополняется новыми земельными участками, предназначенными для строительства. Сейчас в реализации данного проекта принимают участие практически все органы местного самоуправления Волгоградской области. Этот сервис доступен в режиме онлайн на Публичной кадастровой карте Росреестра, что позволяет любому пользователю посмотреть и выбрать подходящий земельный участок для жилищного строительства</w:t>
      </w:r>
      <w:r w:rsidR="007349E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2024-01-30T07:16:00Z</dcterms:created>
  <dcterms:modified xsi:type="dcterms:W3CDTF">2024-01-30T07:42:00Z</dcterms:modified>
</cp:coreProperties>
</file>